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CCA35" w14:textId="57593BA1" w:rsidR="004F014C" w:rsidRDefault="005E18EE" w:rsidP="004F014C">
      <w:pPr>
        <w:jc w:val="both"/>
      </w:pPr>
      <w:r w:rsidRPr="004F014C">
        <w:rPr>
          <w:b/>
        </w:rPr>
        <w:t>Indeksni nizovi kupoprodajnih cijena nekretnina od 2015. do 202</w:t>
      </w:r>
      <w:r w:rsidR="008E77D3">
        <w:rPr>
          <w:b/>
        </w:rPr>
        <w:t>4</w:t>
      </w:r>
      <w:r w:rsidRPr="004F014C">
        <w:rPr>
          <w:b/>
        </w:rPr>
        <w:t>. godine za područje Osječko-baranjske županije</w:t>
      </w:r>
      <w:r w:rsidRPr="005E18EE">
        <w:t xml:space="preserve">  </w:t>
      </w:r>
    </w:p>
    <w:p w14:paraId="36DC2186" w14:textId="27101600" w:rsidR="004F014C" w:rsidRDefault="005E18EE" w:rsidP="004F014C">
      <w:pPr>
        <w:jc w:val="both"/>
      </w:pPr>
      <w:r w:rsidRPr="005E18EE">
        <w:t>Sukladno odredbi članka 12. stavka 1. točke 1. Zakona o procjeni vrijednosti nekretnina (NN 78/15), Procjeniteljsko povjerenstvo za</w:t>
      </w:r>
      <w:r w:rsidR="00712669">
        <w:t xml:space="preserve"> procjenu vrijednosti nekretnina na</w:t>
      </w:r>
      <w:r w:rsidRPr="005E18EE">
        <w:t xml:space="preserve"> područj</w:t>
      </w:r>
      <w:r w:rsidR="00712669">
        <w:t>u</w:t>
      </w:r>
      <w:r w:rsidRPr="005E18EE">
        <w:t xml:space="preserve"> </w:t>
      </w:r>
      <w:r w:rsidR="004F014C">
        <w:t>Osje</w:t>
      </w:r>
      <w:r w:rsidRPr="005E18EE">
        <w:t>čko-</w:t>
      </w:r>
      <w:r w:rsidR="004F014C">
        <w:t>baranjs</w:t>
      </w:r>
      <w:r w:rsidRPr="005E18EE">
        <w:t xml:space="preserve">ke županije, </w:t>
      </w:r>
      <w:r w:rsidRPr="009B3C1D">
        <w:t xml:space="preserve">na </w:t>
      </w:r>
      <w:r w:rsidR="009B3C1D" w:rsidRPr="009B3C1D">
        <w:t>1.</w:t>
      </w:r>
      <w:r w:rsidRPr="009B3C1D">
        <w:t xml:space="preserve"> sjednici održanoj </w:t>
      </w:r>
      <w:r w:rsidR="009B3C1D" w:rsidRPr="009B3C1D">
        <w:t>24.</w:t>
      </w:r>
      <w:r w:rsidRPr="009B3C1D">
        <w:t xml:space="preserve"> </w:t>
      </w:r>
      <w:r w:rsidR="009B3C1D" w:rsidRPr="009B3C1D">
        <w:t>siječnja</w:t>
      </w:r>
      <w:r w:rsidRPr="009B3C1D">
        <w:t xml:space="preserve"> 202</w:t>
      </w:r>
      <w:r w:rsidR="007F3B0A" w:rsidRPr="009B3C1D">
        <w:t>5</w:t>
      </w:r>
      <w:r w:rsidRPr="009B3C1D">
        <w:t>. godine prihvatilo</w:t>
      </w:r>
      <w:r w:rsidRPr="005E18EE">
        <w:t xml:space="preserve"> je Indeksne nizove kupoprodajnih cijena nekretnina </w:t>
      </w:r>
      <w:r w:rsidR="009B3C1D">
        <w:t>od 2015. do</w:t>
      </w:r>
      <w:r w:rsidRPr="005E18EE">
        <w:t xml:space="preserve"> 202</w:t>
      </w:r>
      <w:r w:rsidR="007F3B0A">
        <w:t>4</w:t>
      </w:r>
      <w:r w:rsidRPr="005E18EE">
        <w:t xml:space="preserve">. godine za područje </w:t>
      </w:r>
      <w:r w:rsidR="004F014C">
        <w:t>Osje</w:t>
      </w:r>
      <w:r w:rsidR="004F014C" w:rsidRPr="005E18EE">
        <w:t>čko-</w:t>
      </w:r>
      <w:r w:rsidR="004F014C">
        <w:t>baranjs</w:t>
      </w:r>
      <w:r w:rsidR="004F014C" w:rsidRPr="005E18EE">
        <w:t>ke županije</w:t>
      </w:r>
      <w:r w:rsidRPr="005E18EE">
        <w:t xml:space="preserve">.  </w:t>
      </w:r>
    </w:p>
    <w:tbl>
      <w:tblPr>
        <w:tblStyle w:val="Reetkatablice"/>
        <w:tblpPr w:leftFromText="180" w:rightFromText="180" w:vertAnchor="text" w:horzAnchor="margin" w:tblpY="261"/>
        <w:tblW w:w="14088" w:type="dxa"/>
        <w:tblLook w:val="04A0" w:firstRow="1" w:lastRow="0" w:firstColumn="1" w:lastColumn="0" w:noHBand="0" w:noVBand="1"/>
      </w:tblPr>
      <w:tblGrid>
        <w:gridCol w:w="2597"/>
        <w:gridCol w:w="1148"/>
        <w:gridCol w:w="1148"/>
        <w:gridCol w:w="1148"/>
        <w:gridCol w:w="1148"/>
        <w:gridCol w:w="1148"/>
        <w:gridCol w:w="1148"/>
        <w:gridCol w:w="1148"/>
        <w:gridCol w:w="1148"/>
        <w:gridCol w:w="1148"/>
        <w:gridCol w:w="383"/>
        <w:gridCol w:w="765"/>
        <w:gridCol w:w="11"/>
      </w:tblGrid>
      <w:tr w:rsidR="00AE02BD" w:rsidRPr="006F46E6" w14:paraId="5AE69E40" w14:textId="77777777" w:rsidTr="003D68B2">
        <w:trPr>
          <w:trHeight w:val="259"/>
        </w:trPr>
        <w:tc>
          <w:tcPr>
            <w:tcW w:w="13312" w:type="dxa"/>
            <w:gridSpan w:val="11"/>
            <w:tcBorders>
              <w:right w:val="nil"/>
            </w:tcBorders>
            <w:shd w:val="clear" w:color="auto" w:fill="A8D08D" w:themeFill="accent6" w:themeFillTint="99"/>
          </w:tcPr>
          <w:p w14:paraId="5310407A" w14:textId="77777777" w:rsidR="00AE02BD" w:rsidRDefault="00AE02BD" w:rsidP="00AE02BD">
            <w:pPr>
              <w:jc w:val="center"/>
              <w:rPr>
                <w:rFonts w:ascii="Arial" w:hAnsi="Arial" w:cs="Arial"/>
                <w:b/>
                <w:bCs/>
                <w:color w:val="000000" w:themeColor="text1"/>
                <w:sz w:val="24"/>
                <w:szCs w:val="24"/>
              </w:rPr>
            </w:pPr>
          </w:p>
          <w:p w14:paraId="318660A9" w14:textId="77777777" w:rsidR="00AE02BD" w:rsidRPr="006F46E6" w:rsidRDefault="00AE02BD" w:rsidP="00AE02BD">
            <w:pPr>
              <w:jc w:val="center"/>
              <w:rPr>
                <w:rFonts w:ascii="Arial" w:hAnsi="Arial" w:cs="Arial"/>
                <w:b/>
                <w:bCs/>
                <w:sz w:val="24"/>
                <w:szCs w:val="24"/>
              </w:rPr>
            </w:pPr>
            <w:r>
              <w:rPr>
                <w:rFonts w:ascii="Arial" w:hAnsi="Arial" w:cs="Arial"/>
                <w:b/>
                <w:bCs/>
                <w:color w:val="000000" w:themeColor="text1"/>
                <w:sz w:val="24"/>
                <w:szCs w:val="24"/>
              </w:rPr>
              <w:t xml:space="preserve">                                          </w:t>
            </w:r>
            <w:r w:rsidRPr="006F46E6">
              <w:rPr>
                <w:rFonts w:ascii="Arial" w:hAnsi="Arial" w:cs="Arial"/>
                <w:b/>
                <w:bCs/>
                <w:color w:val="000000" w:themeColor="text1"/>
                <w:sz w:val="24"/>
                <w:szCs w:val="24"/>
              </w:rPr>
              <w:t xml:space="preserve">INDEKSNI NIZOVI – </w:t>
            </w:r>
            <w:r>
              <w:rPr>
                <w:rFonts w:ascii="Arial" w:hAnsi="Arial" w:cs="Arial"/>
                <w:b/>
                <w:bCs/>
                <w:color w:val="000000" w:themeColor="text1"/>
                <w:sz w:val="24"/>
                <w:szCs w:val="24"/>
              </w:rPr>
              <w:t>OSJEČKO-BARANJSKA ŽUPANIJA</w:t>
            </w:r>
          </w:p>
        </w:tc>
        <w:tc>
          <w:tcPr>
            <w:tcW w:w="776" w:type="dxa"/>
            <w:gridSpan w:val="2"/>
            <w:tcBorders>
              <w:left w:val="nil"/>
              <w:bottom w:val="single" w:sz="4" w:space="0" w:color="auto"/>
            </w:tcBorders>
            <w:shd w:val="clear" w:color="auto" w:fill="A8D08D" w:themeFill="accent6" w:themeFillTint="99"/>
          </w:tcPr>
          <w:p w14:paraId="0B371328" w14:textId="77777777" w:rsidR="00AE02BD" w:rsidRDefault="00AE02BD" w:rsidP="00AE02BD">
            <w:pPr>
              <w:jc w:val="center"/>
              <w:rPr>
                <w:rFonts w:ascii="Arial" w:hAnsi="Arial" w:cs="Arial"/>
                <w:b/>
                <w:bCs/>
                <w:color w:val="000000" w:themeColor="text1"/>
                <w:sz w:val="24"/>
                <w:szCs w:val="24"/>
              </w:rPr>
            </w:pPr>
          </w:p>
        </w:tc>
      </w:tr>
      <w:tr w:rsidR="00AE02BD" w14:paraId="515BA130" w14:textId="77777777" w:rsidTr="003D68B2">
        <w:trPr>
          <w:trHeight w:val="204"/>
        </w:trPr>
        <w:tc>
          <w:tcPr>
            <w:tcW w:w="2597" w:type="dxa"/>
            <w:vMerge w:val="restart"/>
            <w:shd w:val="clear" w:color="auto" w:fill="A8D08D" w:themeFill="accent6" w:themeFillTint="99"/>
          </w:tcPr>
          <w:p w14:paraId="5C51EA58" w14:textId="77777777" w:rsidR="00AE02BD" w:rsidRDefault="00AE02BD" w:rsidP="00AE02BD">
            <w:pPr>
              <w:rPr>
                <w:rFonts w:ascii="Arial" w:hAnsi="Arial" w:cs="Arial"/>
                <w:sz w:val="24"/>
                <w:szCs w:val="24"/>
              </w:rPr>
            </w:pPr>
          </w:p>
          <w:p w14:paraId="4D981DCA" w14:textId="77777777" w:rsidR="00AE02BD" w:rsidRDefault="00AE02BD" w:rsidP="00AE02BD">
            <w:pPr>
              <w:rPr>
                <w:rFonts w:ascii="Arial" w:hAnsi="Arial" w:cs="Arial"/>
                <w:sz w:val="24"/>
                <w:szCs w:val="24"/>
              </w:rPr>
            </w:pPr>
            <w:r w:rsidRPr="006F46E6">
              <w:rPr>
                <w:rFonts w:ascii="Arial" w:hAnsi="Arial" w:cs="Arial"/>
                <w:sz w:val="24"/>
                <w:szCs w:val="24"/>
              </w:rPr>
              <w:t xml:space="preserve">Vrsta </w:t>
            </w:r>
          </w:p>
          <w:p w14:paraId="5FBBB6D5" w14:textId="77777777" w:rsidR="00AE02BD" w:rsidRDefault="00AE02BD" w:rsidP="00AE02BD">
            <w:r w:rsidRPr="006F46E6">
              <w:rPr>
                <w:rFonts w:ascii="Arial" w:hAnsi="Arial" w:cs="Arial"/>
                <w:sz w:val="24"/>
                <w:szCs w:val="24"/>
              </w:rPr>
              <w:t>nekretnine</w:t>
            </w:r>
          </w:p>
        </w:tc>
        <w:tc>
          <w:tcPr>
            <w:tcW w:w="10714" w:type="dxa"/>
            <w:gridSpan w:val="10"/>
            <w:tcBorders>
              <w:right w:val="nil"/>
            </w:tcBorders>
            <w:shd w:val="clear" w:color="auto" w:fill="C5E0B3" w:themeFill="accent6" w:themeFillTint="66"/>
          </w:tcPr>
          <w:p w14:paraId="3F61EB29" w14:textId="77777777" w:rsidR="00AE02BD" w:rsidRDefault="00AE02BD" w:rsidP="00AE02BD">
            <w:pPr>
              <w:jc w:val="center"/>
            </w:pPr>
          </w:p>
          <w:p w14:paraId="2A875F4F" w14:textId="77777777" w:rsidR="00AE02BD" w:rsidRPr="006F46E6" w:rsidRDefault="00AE02BD" w:rsidP="00AE02BD">
            <w:pPr>
              <w:jc w:val="center"/>
              <w:rPr>
                <w:rFonts w:ascii="Arial" w:hAnsi="Arial" w:cs="Arial"/>
                <w:b/>
                <w:bCs/>
                <w:sz w:val="24"/>
                <w:szCs w:val="24"/>
              </w:rPr>
            </w:pPr>
            <w:r>
              <w:rPr>
                <w:rFonts w:ascii="Arial" w:hAnsi="Arial" w:cs="Arial"/>
                <w:b/>
                <w:bCs/>
                <w:sz w:val="24"/>
                <w:szCs w:val="24"/>
              </w:rPr>
              <w:t xml:space="preserve">             </w:t>
            </w:r>
            <w:r w:rsidRPr="006F46E6">
              <w:rPr>
                <w:rFonts w:ascii="Arial" w:hAnsi="Arial" w:cs="Arial"/>
                <w:b/>
                <w:bCs/>
                <w:sz w:val="24"/>
                <w:szCs w:val="24"/>
              </w:rPr>
              <w:t>GODINA</w:t>
            </w:r>
          </w:p>
        </w:tc>
        <w:tc>
          <w:tcPr>
            <w:tcW w:w="776" w:type="dxa"/>
            <w:gridSpan w:val="2"/>
            <w:tcBorders>
              <w:left w:val="nil"/>
            </w:tcBorders>
            <w:shd w:val="clear" w:color="auto" w:fill="C5E0B3" w:themeFill="accent6" w:themeFillTint="66"/>
          </w:tcPr>
          <w:p w14:paraId="26602441" w14:textId="77777777" w:rsidR="00AE02BD" w:rsidRDefault="00AE02BD" w:rsidP="00AE02BD">
            <w:pPr>
              <w:jc w:val="center"/>
            </w:pPr>
          </w:p>
        </w:tc>
      </w:tr>
      <w:tr w:rsidR="003D68B2" w14:paraId="18B876FD" w14:textId="77777777" w:rsidTr="003D68B2">
        <w:trPr>
          <w:gridAfter w:val="1"/>
          <w:wAfter w:w="11" w:type="dxa"/>
          <w:trHeight w:val="199"/>
        </w:trPr>
        <w:tc>
          <w:tcPr>
            <w:tcW w:w="2597" w:type="dxa"/>
            <w:vMerge/>
            <w:shd w:val="clear" w:color="auto" w:fill="A8D08D" w:themeFill="accent6" w:themeFillTint="99"/>
          </w:tcPr>
          <w:p w14:paraId="43438488" w14:textId="77777777" w:rsidR="00AE02BD" w:rsidRPr="006F46E6" w:rsidRDefault="00AE02BD" w:rsidP="00AE02BD">
            <w:pPr>
              <w:rPr>
                <w:rFonts w:ascii="Arial" w:hAnsi="Arial" w:cs="Arial"/>
                <w:sz w:val="24"/>
                <w:szCs w:val="24"/>
              </w:rPr>
            </w:pPr>
          </w:p>
        </w:tc>
        <w:tc>
          <w:tcPr>
            <w:tcW w:w="1148" w:type="dxa"/>
            <w:shd w:val="clear" w:color="auto" w:fill="C5E0B3" w:themeFill="accent6" w:themeFillTint="66"/>
          </w:tcPr>
          <w:p w14:paraId="104023EF" w14:textId="77777777" w:rsidR="00AE02BD" w:rsidRDefault="00AE02BD" w:rsidP="00AE02BD">
            <w:pPr>
              <w:jc w:val="center"/>
              <w:rPr>
                <w:rFonts w:ascii="Arial" w:hAnsi="Arial" w:cs="Arial"/>
                <w:sz w:val="24"/>
                <w:szCs w:val="24"/>
              </w:rPr>
            </w:pPr>
          </w:p>
          <w:p w14:paraId="07AF4917" w14:textId="77777777" w:rsidR="00AE02BD" w:rsidRPr="006F46E6" w:rsidRDefault="00AE02BD" w:rsidP="00AE02BD">
            <w:pPr>
              <w:jc w:val="center"/>
              <w:rPr>
                <w:rFonts w:ascii="Arial" w:hAnsi="Arial" w:cs="Arial"/>
                <w:sz w:val="24"/>
                <w:szCs w:val="24"/>
              </w:rPr>
            </w:pPr>
            <w:r>
              <w:rPr>
                <w:rFonts w:ascii="Arial" w:hAnsi="Arial" w:cs="Arial"/>
                <w:sz w:val="24"/>
                <w:szCs w:val="24"/>
              </w:rPr>
              <w:t>2015</w:t>
            </w:r>
          </w:p>
        </w:tc>
        <w:tc>
          <w:tcPr>
            <w:tcW w:w="1148" w:type="dxa"/>
            <w:shd w:val="clear" w:color="auto" w:fill="C5E0B3" w:themeFill="accent6" w:themeFillTint="66"/>
          </w:tcPr>
          <w:p w14:paraId="6A93B2D9" w14:textId="77777777" w:rsidR="00AE02BD" w:rsidRDefault="00AE02BD" w:rsidP="00AE02BD">
            <w:pPr>
              <w:jc w:val="center"/>
              <w:rPr>
                <w:rFonts w:ascii="Arial" w:hAnsi="Arial" w:cs="Arial"/>
                <w:sz w:val="24"/>
                <w:szCs w:val="24"/>
              </w:rPr>
            </w:pPr>
          </w:p>
          <w:p w14:paraId="3F411137" w14:textId="77777777" w:rsidR="00AE02BD" w:rsidRPr="006F46E6" w:rsidRDefault="00AE02BD" w:rsidP="00AE02BD">
            <w:pPr>
              <w:jc w:val="center"/>
              <w:rPr>
                <w:rFonts w:ascii="Arial" w:hAnsi="Arial" w:cs="Arial"/>
                <w:sz w:val="24"/>
                <w:szCs w:val="24"/>
              </w:rPr>
            </w:pPr>
            <w:r>
              <w:rPr>
                <w:rFonts w:ascii="Arial" w:hAnsi="Arial" w:cs="Arial"/>
                <w:sz w:val="24"/>
                <w:szCs w:val="24"/>
              </w:rPr>
              <w:t>2016</w:t>
            </w:r>
          </w:p>
        </w:tc>
        <w:tc>
          <w:tcPr>
            <w:tcW w:w="1148" w:type="dxa"/>
            <w:shd w:val="clear" w:color="auto" w:fill="C5E0B3" w:themeFill="accent6" w:themeFillTint="66"/>
          </w:tcPr>
          <w:p w14:paraId="3E3E316A" w14:textId="77777777" w:rsidR="00AE02BD" w:rsidRDefault="00AE02BD" w:rsidP="00AE02BD">
            <w:pPr>
              <w:jc w:val="center"/>
              <w:rPr>
                <w:rFonts w:ascii="Arial" w:hAnsi="Arial" w:cs="Arial"/>
                <w:sz w:val="24"/>
                <w:szCs w:val="24"/>
              </w:rPr>
            </w:pPr>
          </w:p>
          <w:p w14:paraId="72FA7F74" w14:textId="77777777" w:rsidR="00AE02BD" w:rsidRDefault="00AE02BD" w:rsidP="00AE02BD">
            <w:pPr>
              <w:jc w:val="center"/>
              <w:rPr>
                <w:rFonts w:ascii="Arial" w:hAnsi="Arial" w:cs="Arial"/>
                <w:sz w:val="24"/>
                <w:szCs w:val="24"/>
              </w:rPr>
            </w:pPr>
            <w:r>
              <w:rPr>
                <w:rFonts w:ascii="Arial" w:hAnsi="Arial" w:cs="Arial"/>
                <w:sz w:val="24"/>
                <w:szCs w:val="24"/>
              </w:rPr>
              <w:t>2017</w:t>
            </w:r>
          </w:p>
          <w:p w14:paraId="0EF87E14" w14:textId="77777777" w:rsidR="00AE02BD" w:rsidRPr="006F46E6" w:rsidRDefault="00AE02BD" w:rsidP="00AE02BD">
            <w:pPr>
              <w:jc w:val="center"/>
              <w:rPr>
                <w:rFonts w:ascii="Arial" w:hAnsi="Arial" w:cs="Arial"/>
                <w:sz w:val="24"/>
                <w:szCs w:val="24"/>
              </w:rPr>
            </w:pPr>
          </w:p>
        </w:tc>
        <w:tc>
          <w:tcPr>
            <w:tcW w:w="1148" w:type="dxa"/>
            <w:shd w:val="clear" w:color="auto" w:fill="C5E0B3" w:themeFill="accent6" w:themeFillTint="66"/>
          </w:tcPr>
          <w:p w14:paraId="6E097F55" w14:textId="77777777" w:rsidR="00AE02BD" w:rsidRPr="006F46E6" w:rsidRDefault="00AE02BD" w:rsidP="00AE02BD">
            <w:pPr>
              <w:jc w:val="center"/>
              <w:rPr>
                <w:rFonts w:ascii="Arial" w:hAnsi="Arial" w:cs="Arial"/>
                <w:sz w:val="24"/>
                <w:szCs w:val="24"/>
              </w:rPr>
            </w:pPr>
          </w:p>
          <w:p w14:paraId="7D66D750" w14:textId="77777777" w:rsidR="00AE02BD" w:rsidRPr="006F46E6" w:rsidRDefault="00AE02BD" w:rsidP="00AE02BD">
            <w:pPr>
              <w:jc w:val="center"/>
              <w:rPr>
                <w:rFonts w:ascii="Arial" w:hAnsi="Arial" w:cs="Arial"/>
                <w:sz w:val="24"/>
                <w:szCs w:val="24"/>
              </w:rPr>
            </w:pPr>
            <w:r w:rsidRPr="006F46E6">
              <w:rPr>
                <w:rFonts w:ascii="Arial" w:hAnsi="Arial" w:cs="Arial"/>
                <w:sz w:val="24"/>
                <w:szCs w:val="24"/>
              </w:rPr>
              <w:t>2018</w:t>
            </w:r>
          </w:p>
        </w:tc>
        <w:tc>
          <w:tcPr>
            <w:tcW w:w="1148" w:type="dxa"/>
            <w:shd w:val="clear" w:color="auto" w:fill="C5E0B3" w:themeFill="accent6" w:themeFillTint="66"/>
          </w:tcPr>
          <w:p w14:paraId="6D5F0694" w14:textId="77777777" w:rsidR="00AE02BD" w:rsidRPr="006F46E6" w:rsidRDefault="00AE02BD" w:rsidP="00AE02BD">
            <w:pPr>
              <w:jc w:val="center"/>
              <w:rPr>
                <w:rFonts w:ascii="Arial" w:hAnsi="Arial" w:cs="Arial"/>
                <w:sz w:val="24"/>
                <w:szCs w:val="24"/>
              </w:rPr>
            </w:pPr>
          </w:p>
          <w:p w14:paraId="718C58F8" w14:textId="77777777" w:rsidR="00AE02BD" w:rsidRPr="006F46E6" w:rsidRDefault="00AE02BD" w:rsidP="00AE02BD">
            <w:pPr>
              <w:jc w:val="center"/>
              <w:rPr>
                <w:rFonts w:ascii="Arial" w:hAnsi="Arial" w:cs="Arial"/>
                <w:sz w:val="24"/>
                <w:szCs w:val="24"/>
              </w:rPr>
            </w:pPr>
            <w:r w:rsidRPr="006F46E6">
              <w:rPr>
                <w:rFonts w:ascii="Arial" w:hAnsi="Arial" w:cs="Arial"/>
                <w:sz w:val="24"/>
                <w:szCs w:val="24"/>
              </w:rPr>
              <w:t>2019</w:t>
            </w:r>
          </w:p>
        </w:tc>
        <w:tc>
          <w:tcPr>
            <w:tcW w:w="1148" w:type="dxa"/>
            <w:shd w:val="clear" w:color="auto" w:fill="C5E0B3" w:themeFill="accent6" w:themeFillTint="66"/>
          </w:tcPr>
          <w:p w14:paraId="303E1004" w14:textId="77777777" w:rsidR="00AE02BD" w:rsidRPr="006F46E6" w:rsidRDefault="00AE02BD" w:rsidP="00AE02BD">
            <w:pPr>
              <w:jc w:val="center"/>
              <w:rPr>
                <w:rFonts w:ascii="Arial" w:hAnsi="Arial" w:cs="Arial"/>
                <w:sz w:val="24"/>
                <w:szCs w:val="24"/>
              </w:rPr>
            </w:pPr>
          </w:p>
          <w:p w14:paraId="57F92EE9" w14:textId="77777777" w:rsidR="00AE02BD" w:rsidRPr="006F46E6" w:rsidRDefault="00AE02BD" w:rsidP="00AE02BD">
            <w:pPr>
              <w:jc w:val="center"/>
              <w:rPr>
                <w:rFonts w:ascii="Arial" w:hAnsi="Arial" w:cs="Arial"/>
                <w:sz w:val="24"/>
                <w:szCs w:val="24"/>
              </w:rPr>
            </w:pPr>
            <w:r w:rsidRPr="006F46E6">
              <w:rPr>
                <w:rFonts w:ascii="Arial" w:hAnsi="Arial" w:cs="Arial"/>
                <w:sz w:val="24"/>
                <w:szCs w:val="24"/>
              </w:rPr>
              <w:t>2020</w:t>
            </w:r>
          </w:p>
        </w:tc>
        <w:tc>
          <w:tcPr>
            <w:tcW w:w="1148" w:type="dxa"/>
            <w:shd w:val="clear" w:color="auto" w:fill="C5E0B3" w:themeFill="accent6" w:themeFillTint="66"/>
          </w:tcPr>
          <w:p w14:paraId="0D898919" w14:textId="77777777" w:rsidR="00AE02BD" w:rsidRDefault="00AE02BD" w:rsidP="00AE02BD">
            <w:pPr>
              <w:jc w:val="center"/>
              <w:rPr>
                <w:rFonts w:ascii="Arial" w:hAnsi="Arial" w:cs="Arial"/>
                <w:sz w:val="24"/>
                <w:szCs w:val="24"/>
              </w:rPr>
            </w:pPr>
          </w:p>
          <w:p w14:paraId="705D3F7F" w14:textId="77777777" w:rsidR="00AE02BD" w:rsidRPr="006F46E6" w:rsidRDefault="00AE02BD" w:rsidP="00AE02BD">
            <w:pPr>
              <w:jc w:val="center"/>
              <w:rPr>
                <w:rFonts w:ascii="Arial" w:hAnsi="Arial" w:cs="Arial"/>
                <w:sz w:val="24"/>
                <w:szCs w:val="24"/>
              </w:rPr>
            </w:pPr>
            <w:r>
              <w:rPr>
                <w:rFonts w:ascii="Arial" w:hAnsi="Arial" w:cs="Arial"/>
                <w:sz w:val="24"/>
                <w:szCs w:val="24"/>
              </w:rPr>
              <w:t>2021</w:t>
            </w:r>
          </w:p>
        </w:tc>
        <w:tc>
          <w:tcPr>
            <w:tcW w:w="1148" w:type="dxa"/>
            <w:shd w:val="clear" w:color="auto" w:fill="C5E0B3" w:themeFill="accent6" w:themeFillTint="66"/>
          </w:tcPr>
          <w:p w14:paraId="4459ECEA" w14:textId="77777777" w:rsidR="00AE02BD" w:rsidRDefault="00AE02BD" w:rsidP="00AE02BD">
            <w:pPr>
              <w:jc w:val="center"/>
              <w:rPr>
                <w:rFonts w:ascii="Arial" w:hAnsi="Arial" w:cs="Arial"/>
                <w:sz w:val="24"/>
                <w:szCs w:val="24"/>
              </w:rPr>
            </w:pPr>
          </w:p>
          <w:p w14:paraId="48E29790" w14:textId="77777777" w:rsidR="00AE02BD" w:rsidRPr="006F46E6" w:rsidRDefault="00AE02BD" w:rsidP="00AE02BD">
            <w:pPr>
              <w:jc w:val="center"/>
              <w:rPr>
                <w:rFonts w:ascii="Arial" w:hAnsi="Arial" w:cs="Arial"/>
                <w:sz w:val="24"/>
                <w:szCs w:val="24"/>
              </w:rPr>
            </w:pPr>
            <w:r>
              <w:rPr>
                <w:rFonts w:ascii="Arial" w:hAnsi="Arial" w:cs="Arial"/>
                <w:sz w:val="24"/>
                <w:szCs w:val="24"/>
              </w:rPr>
              <w:t>2022</w:t>
            </w:r>
          </w:p>
        </w:tc>
        <w:tc>
          <w:tcPr>
            <w:tcW w:w="1148" w:type="dxa"/>
            <w:shd w:val="clear" w:color="auto" w:fill="C5E0B3" w:themeFill="accent6" w:themeFillTint="66"/>
          </w:tcPr>
          <w:p w14:paraId="37DD3EE3" w14:textId="77777777" w:rsidR="00AE02BD" w:rsidRPr="006F46E6" w:rsidRDefault="00AE02BD" w:rsidP="00AE02BD">
            <w:pPr>
              <w:jc w:val="center"/>
              <w:rPr>
                <w:rFonts w:ascii="Arial" w:hAnsi="Arial" w:cs="Arial"/>
                <w:sz w:val="24"/>
                <w:szCs w:val="24"/>
              </w:rPr>
            </w:pPr>
          </w:p>
          <w:p w14:paraId="3DC2608F" w14:textId="77777777" w:rsidR="00AE02BD" w:rsidRPr="006F46E6" w:rsidRDefault="00AE02BD" w:rsidP="00AE02BD">
            <w:pPr>
              <w:jc w:val="center"/>
              <w:rPr>
                <w:rFonts w:ascii="Arial" w:hAnsi="Arial" w:cs="Arial"/>
                <w:sz w:val="24"/>
                <w:szCs w:val="24"/>
              </w:rPr>
            </w:pPr>
            <w:r w:rsidRPr="006F46E6">
              <w:rPr>
                <w:rFonts w:ascii="Arial" w:hAnsi="Arial" w:cs="Arial"/>
                <w:sz w:val="24"/>
                <w:szCs w:val="24"/>
              </w:rPr>
              <w:t>2023</w:t>
            </w:r>
          </w:p>
        </w:tc>
        <w:tc>
          <w:tcPr>
            <w:tcW w:w="1148" w:type="dxa"/>
            <w:gridSpan w:val="2"/>
            <w:shd w:val="clear" w:color="auto" w:fill="C5E0B3" w:themeFill="accent6" w:themeFillTint="66"/>
          </w:tcPr>
          <w:p w14:paraId="64FF1C79" w14:textId="77777777" w:rsidR="00AE02BD" w:rsidRPr="006F46E6" w:rsidRDefault="00AE02BD" w:rsidP="00AE02BD">
            <w:pPr>
              <w:jc w:val="center"/>
              <w:rPr>
                <w:rFonts w:ascii="Arial" w:hAnsi="Arial" w:cs="Arial"/>
                <w:sz w:val="24"/>
                <w:szCs w:val="24"/>
              </w:rPr>
            </w:pPr>
          </w:p>
          <w:p w14:paraId="29F43596" w14:textId="77777777" w:rsidR="00AE02BD" w:rsidRPr="006F46E6" w:rsidRDefault="00AE02BD" w:rsidP="00AE02BD">
            <w:pPr>
              <w:jc w:val="center"/>
              <w:rPr>
                <w:rFonts w:ascii="Arial" w:hAnsi="Arial" w:cs="Arial"/>
                <w:sz w:val="24"/>
                <w:szCs w:val="24"/>
              </w:rPr>
            </w:pPr>
            <w:r w:rsidRPr="006F46E6">
              <w:rPr>
                <w:rFonts w:ascii="Arial" w:hAnsi="Arial" w:cs="Arial"/>
                <w:sz w:val="24"/>
                <w:szCs w:val="24"/>
              </w:rPr>
              <w:t>202</w:t>
            </w:r>
            <w:r>
              <w:rPr>
                <w:rFonts w:ascii="Arial" w:hAnsi="Arial" w:cs="Arial"/>
                <w:sz w:val="24"/>
                <w:szCs w:val="24"/>
              </w:rPr>
              <w:t>4</w:t>
            </w:r>
          </w:p>
        </w:tc>
      </w:tr>
      <w:tr w:rsidR="003D68B2" w14:paraId="18450474" w14:textId="77777777" w:rsidTr="003D68B2">
        <w:trPr>
          <w:gridAfter w:val="1"/>
          <w:wAfter w:w="11" w:type="dxa"/>
          <w:trHeight w:val="263"/>
        </w:trPr>
        <w:tc>
          <w:tcPr>
            <w:tcW w:w="2597" w:type="dxa"/>
            <w:shd w:val="clear" w:color="auto" w:fill="E2EFD9" w:themeFill="accent6" w:themeFillTint="33"/>
          </w:tcPr>
          <w:p w14:paraId="77B983ED" w14:textId="77777777" w:rsidR="00AE02BD" w:rsidRPr="006F46E6" w:rsidRDefault="00AE02BD" w:rsidP="00AE02BD">
            <w:pPr>
              <w:rPr>
                <w:rFonts w:ascii="Arial" w:hAnsi="Arial" w:cs="Arial"/>
                <w:i/>
                <w:iCs/>
                <w:sz w:val="24"/>
                <w:szCs w:val="24"/>
              </w:rPr>
            </w:pPr>
          </w:p>
          <w:p w14:paraId="230707E5" w14:textId="77777777" w:rsidR="00AE02BD" w:rsidRPr="006F46E6" w:rsidRDefault="00AE02BD" w:rsidP="00AE02BD">
            <w:pPr>
              <w:rPr>
                <w:rFonts w:ascii="Arial" w:hAnsi="Arial" w:cs="Arial"/>
                <w:i/>
                <w:iCs/>
                <w:sz w:val="24"/>
                <w:szCs w:val="24"/>
              </w:rPr>
            </w:pPr>
            <w:r w:rsidRPr="006F46E6">
              <w:rPr>
                <w:rFonts w:ascii="Arial" w:hAnsi="Arial" w:cs="Arial"/>
                <w:i/>
                <w:iCs/>
                <w:sz w:val="24"/>
                <w:szCs w:val="24"/>
              </w:rPr>
              <w:t>Građevinsko zemljište</w:t>
            </w:r>
          </w:p>
        </w:tc>
        <w:tc>
          <w:tcPr>
            <w:tcW w:w="1148" w:type="dxa"/>
          </w:tcPr>
          <w:p w14:paraId="5FC6AC23" w14:textId="77777777" w:rsidR="00AE02BD" w:rsidRDefault="00AE02BD" w:rsidP="00AE02BD">
            <w:pPr>
              <w:rPr>
                <w:rFonts w:ascii="Arial" w:hAnsi="Arial" w:cs="Arial"/>
                <w:sz w:val="24"/>
                <w:szCs w:val="24"/>
              </w:rPr>
            </w:pPr>
          </w:p>
          <w:p w14:paraId="63C6B3A6" w14:textId="77777777" w:rsidR="00AE02BD" w:rsidRPr="006F46E6" w:rsidRDefault="00AE02BD" w:rsidP="00AE02BD">
            <w:pPr>
              <w:rPr>
                <w:rFonts w:ascii="Arial" w:hAnsi="Arial" w:cs="Arial"/>
                <w:sz w:val="24"/>
                <w:szCs w:val="24"/>
              </w:rPr>
            </w:pPr>
            <w:r>
              <w:rPr>
                <w:rFonts w:ascii="Arial" w:hAnsi="Arial" w:cs="Arial"/>
                <w:sz w:val="24"/>
                <w:szCs w:val="24"/>
              </w:rPr>
              <w:t>100,00</w:t>
            </w:r>
          </w:p>
        </w:tc>
        <w:tc>
          <w:tcPr>
            <w:tcW w:w="1148" w:type="dxa"/>
          </w:tcPr>
          <w:p w14:paraId="58E6C796" w14:textId="77777777" w:rsidR="00AE02BD" w:rsidRDefault="00AE02BD" w:rsidP="00AE02BD">
            <w:pPr>
              <w:rPr>
                <w:rFonts w:ascii="Arial" w:hAnsi="Arial" w:cs="Arial"/>
                <w:sz w:val="24"/>
                <w:szCs w:val="24"/>
              </w:rPr>
            </w:pPr>
          </w:p>
          <w:p w14:paraId="2883AEFE" w14:textId="77777777" w:rsidR="00AE02BD" w:rsidRPr="006F46E6" w:rsidRDefault="00AE02BD" w:rsidP="00AE02BD">
            <w:pPr>
              <w:rPr>
                <w:rFonts w:ascii="Arial" w:hAnsi="Arial" w:cs="Arial"/>
                <w:sz w:val="24"/>
                <w:szCs w:val="24"/>
              </w:rPr>
            </w:pPr>
            <w:r>
              <w:rPr>
                <w:rFonts w:ascii="Arial" w:hAnsi="Arial" w:cs="Arial"/>
                <w:sz w:val="24"/>
                <w:szCs w:val="24"/>
              </w:rPr>
              <w:t>265,31</w:t>
            </w:r>
          </w:p>
        </w:tc>
        <w:tc>
          <w:tcPr>
            <w:tcW w:w="1148" w:type="dxa"/>
          </w:tcPr>
          <w:p w14:paraId="5EDD1685" w14:textId="77777777" w:rsidR="00AE02BD" w:rsidRDefault="00AE02BD" w:rsidP="00AE02BD">
            <w:pPr>
              <w:rPr>
                <w:rFonts w:ascii="Arial" w:hAnsi="Arial" w:cs="Arial"/>
                <w:sz w:val="24"/>
                <w:szCs w:val="24"/>
              </w:rPr>
            </w:pPr>
          </w:p>
          <w:p w14:paraId="62B5DAC2" w14:textId="77777777" w:rsidR="00AE02BD" w:rsidRPr="006F46E6" w:rsidRDefault="00AE02BD" w:rsidP="00AE02BD">
            <w:pPr>
              <w:rPr>
                <w:rFonts w:ascii="Arial" w:hAnsi="Arial" w:cs="Arial"/>
                <w:sz w:val="24"/>
                <w:szCs w:val="24"/>
              </w:rPr>
            </w:pPr>
            <w:r>
              <w:rPr>
                <w:rFonts w:ascii="Arial" w:hAnsi="Arial" w:cs="Arial"/>
                <w:sz w:val="24"/>
                <w:szCs w:val="24"/>
              </w:rPr>
              <w:t>359,34</w:t>
            </w:r>
          </w:p>
        </w:tc>
        <w:tc>
          <w:tcPr>
            <w:tcW w:w="1148" w:type="dxa"/>
          </w:tcPr>
          <w:p w14:paraId="75963AA3" w14:textId="77777777" w:rsidR="00AE02BD" w:rsidRDefault="00AE02BD" w:rsidP="00AE02BD">
            <w:pPr>
              <w:rPr>
                <w:rFonts w:ascii="Arial" w:hAnsi="Arial" w:cs="Arial"/>
                <w:sz w:val="24"/>
                <w:szCs w:val="24"/>
              </w:rPr>
            </w:pPr>
          </w:p>
          <w:p w14:paraId="1F546A37" w14:textId="77777777" w:rsidR="00AE02BD" w:rsidRPr="006F46E6" w:rsidRDefault="00AE02BD" w:rsidP="00AE02BD">
            <w:pPr>
              <w:rPr>
                <w:rFonts w:ascii="Arial" w:hAnsi="Arial" w:cs="Arial"/>
                <w:sz w:val="24"/>
                <w:szCs w:val="24"/>
              </w:rPr>
            </w:pPr>
            <w:r>
              <w:rPr>
                <w:rFonts w:ascii="Arial" w:hAnsi="Arial" w:cs="Arial"/>
                <w:sz w:val="24"/>
                <w:szCs w:val="24"/>
              </w:rPr>
              <w:t>382,85</w:t>
            </w:r>
          </w:p>
        </w:tc>
        <w:tc>
          <w:tcPr>
            <w:tcW w:w="1148" w:type="dxa"/>
          </w:tcPr>
          <w:p w14:paraId="047B8225" w14:textId="77777777" w:rsidR="00AE02BD" w:rsidRDefault="00AE02BD" w:rsidP="00AE02BD">
            <w:pPr>
              <w:rPr>
                <w:rFonts w:ascii="Arial" w:hAnsi="Arial" w:cs="Arial"/>
                <w:sz w:val="24"/>
                <w:szCs w:val="24"/>
              </w:rPr>
            </w:pPr>
          </w:p>
          <w:p w14:paraId="113C87D5" w14:textId="77777777" w:rsidR="00AE02BD" w:rsidRPr="006F46E6" w:rsidRDefault="00AE02BD" w:rsidP="00AE02BD">
            <w:pPr>
              <w:rPr>
                <w:rFonts w:ascii="Arial" w:hAnsi="Arial" w:cs="Arial"/>
                <w:sz w:val="24"/>
                <w:szCs w:val="24"/>
              </w:rPr>
            </w:pPr>
            <w:r>
              <w:rPr>
                <w:rFonts w:ascii="Arial" w:hAnsi="Arial" w:cs="Arial"/>
                <w:sz w:val="24"/>
                <w:szCs w:val="24"/>
              </w:rPr>
              <w:t>387,44</w:t>
            </w:r>
          </w:p>
        </w:tc>
        <w:tc>
          <w:tcPr>
            <w:tcW w:w="1148" w:type="dxa"/>
          </w:tcPr>
          <w:p w14:paraId="5A33A74E" w14:textId="77777777" w:rsidR="00AE02BD" w:rsidRDefault="00AE02BD" w:rsidP="00AE02BD">
            <w:pPr>
              <w:rPr>
                <w:rFonts w:ascii="Arial" w:hAnsi="Arial" w:cs="Arial"/>
                <w:sz w:val="24"/>
                <w:szCs w:val="24"/>
              </w:rPr>
            </w:pPr>
          </w:p>
          <w:p w14:paraId="0AA64CA2" w14:textId="77777777" w:rsidR="00AE02BD" w:rsidRPr="006F46E6" w:rsidRDefault="00AE02BD" w:rsidP="00AE02BD">
            <w:pPr>
              <w:rPr>
                <w:rFonts w:ascii="Arial" w:hAnsi="Arial" w:cs="Arial"/>
                <w:sz w:val="24"/>
                <w:szCs w:val="24"/>
              </w:rPr>
            </w:pPr>
            <w:r>
              <w:rPr>
                <w:rFonts w:ascii="Arial" w:hAnsi="Arial" w:cs="Arial"/>
                <w:sz w:val="24"/>
                <w:szCs w:val="24"/>
              </w:rPr>
              <w:t>473,37</w:t>
            </w:r>
          </w:p>
        </w:tc>
        <w:tc>
          <w:tcPr>
            <w:tcW w:w="1148" w:type="dxa"/>
          </w:tcPr>
          <w:p w14:paraId="28D6888B" w14:textId="77777777" w:rsidR="00AE02BD" w:rsidRDefault="00AE02BD" w:rsidP="00AE02BD">
            <w:pPr>
              <w:rPr>
                <w:rFonts w:ascii="Arial" w:hAnsi="Arial" w:cs="Arial"/>
                <w:sz w:val="24"/>
                <w:szCs w:val="24"/>
              </w:rPr>
            </w:pPr>
          </w:p>
          <w:p w14:paraId="4940FDFC" w14:textId="77777777" w:rsidR="00AE02BD" w:rsidRPr="006F46E6" w:rsidRDefault="00AE02BD" w:rsidP="00AE02BD">
            <w:pPr>
              <w:rPr>
                <w:rFonts w:ascii="Arial" w:hAnsi="Arial" w:cs="Arial"/>
                <w:sz w:val="24"/>
                <w:szCs w:val="24"/>
              </w:rPr>
            </w:pPr>
            <w:r>
              <w:rPr>
                <w:rFonts w:ascii="Arial" w:hAnsi="Arial" w:cs="Arial"/>
                <w:sz w:val="24"/>
                <w:szCs w:val="24"/>
              </w:rPr>
              <w:t>488,29</w:t>
            </w:r>
          </w:p>
        </w:tc>
        <w:tc>
          <w:tcPr>
            <w:tcW w:w="1148" w:type="dxa"/>
          </w:tcPr>
          <w:p w14:paraId="5D5C7CF2" w14:textId="77777777" w:rsidR="00AE02BD" w:rsidRDefault="00AE02BD" w:rsidP="00AE02BD">
            <w:pPr>
              <w:rPr>
                <w:rFonts w:ascii="Arial" w:hAnsi="Arial" w:cs="Arial"/>
                <w:sz w:val="24"/>
                <w:szCs w:val="24"/>
              </w:rPr>
            </w:pPr>
          </w:p>
          <w:p w14:paraId="403225EF" w14:textId="77777777" w:rsidR="00AE02BD" w:rsidRPr="006F46E6" w:rsidRDefault="00AE02BD" w:rsidP="00AE02BD">
            <w:pPr>
              <w:rPr>
                <w:rFonts w:ascii="Arial" w:hAnsi="Arial" w:cs="Arial"/>
                <w:sz w:val="24"/>
                <w:szCs w:val="24"/>
              </w:rPr>
            </w:pPr>
            <w:r>
              <w:rPr>
                <w:rFonts w:ascii="Arial" w:hAnsi="Arial" w:cs="Arial"/>
                <w:sz w:val="24"/>
                <w:szCs w:val="24"/>
              </w:rPr>
              <w:t>535,36</w:t>
            </w:r>
          </w:p>
        </w:tc>
        <w:tc>
          <w:tcPr>
            <w:tcW w:w="1148" w:type="dxa"/>
          </w:tcPr>
          <w:p w14:paraId="5EE60961" w14:textId="77777777" w:rsidR="00AE02BD" w:rsidRDefault="00AE02BD" w:rsidP="00AE02BD">
            <w:pPr>
              <w:rPr>
                <w:rFonts w:ascii="Arial" w:hAnsi="Arial" w:cs="Arial"/>
                <w:sz w:val="24"/>
                <w:szCs w:val="24"/>
              </w:rPr>
            </w:pPr>
          </w:p>
          <w:p w14:paraId="3A02B9FC" w14:textId="77777777" w:rsidR="00AE02BD" w:rsidRPr="006F46E6" w:rsidRDefault="00AE02BD" w:rsidP="00AE02BD">
            <w:pPr>
              <w:rPr>
                <w:rFonts w:ascii="Arial" w:hAnsi="Arial" w:cs="Arial"/>
                <w:sz w:val="24"/>
                <w:szCs w:val="24"/>
              </w:rPr>
            </w:pPr>
            <w:r>
              <w:rPr>
                <w:rFonts w:ascii="Arial" w:hAnsi="Arial" w:cs="Arial"/>
                <w:sz w:val="24"/>
                <w:szCs w:val="24"/>
              </w:rPr>
              <w:t>619,32</w:t>
            </w:r>
          </w:p>
        </w:tc>
        <w:tc>
          <w:tcPr>
            <w:tcW w:w="1148" w:type="dxa"/>
            <w:gridSpan w:val="2"/>
          </w:tcPr>
          <w:p w14:paraId="15A5DA08" w14:textId="77777777" w:rsidR="00AE02BD" w:rsidRDefault="00AE02BD" w:rsidP="00AE02BD">
            <w:pPr>
              <w:rPr>
                <w:rFonts w:ascii="Arial" w:hAnsi="Arial" w:cs="Arial"/>
                <w:sz w:val="24"/>
                <w:szCs w:val="24"/>
              </w:rPr>
            </w:pPr>
          </w:p>
          <w:p w14:paraId="16AA2473" w14:textId="77777777" w:rsidR="00AE02BD" w:rsidRDefault="00AE02BD" w:rsidP="00AE02BD">
            <w:pPr>
              <w:rPr>
                <w:rFonts w:ascii="Arial" w:hAnsi="Arial" w:cs="Arial"/>
                <w:sz w:val="24"/>
                <w:szCs w:val="24"/>
              </w:rPr>
            </w:pPr>
            <w:r>
              <w:rPr>
                <w:rFonts w:ascii="Arial" w:hAnsi="Arial" w:cs="Arial"/>
                <w:sz w:val="24"/>
                <w:szCs w:val="24"/>
              </w:rPr>
              <w:t>849,94</w:t>
            </w:r>
          </w:p>
        </w:tc>
      </w:tr>
      <w:tr w:rsidR="003D68B2" w14:paraId="412F8DB7" w14:textId="77777777" w:rsidTr="003D68B2">
        <w:trPr>
          <w:gridAfter w:val="1"/>
          <w:wAfter w:w="11" w:type="dxa"/>
          <w:trHeight w:val="262"/>
        </w:trPr>
        <w:tc>
          <w:tcPr>
            <w:tcW w:w="2597" w:type="dxa"/>
            <w:shd w:val="clear" w:color="auto" w:fill="E2EFD9" w:themeFill="accent6" w:themeFillTint="33"/>
          </w:tcPr>
          <w:p w14:paraId="2AC8A438" w14:textId="77777777" w:rsidR="00AE02BD" w:rsidRPr="006F46E6" w:rsidRDefault="00AE02BD" w:rsidP="00AE02BD">
            <w:pPr>
              <w:rPr>
                <w:rFonts w:ascii="Arial" w:hAnsi="Arial" w:cs="Arial"/>
                <w:i/>
                <w:iCs/>
                <w:sz w:val="24"/>
                <w:szCs w:val="24"/>
              </w:rPr>
            </w:pPr>
          </w:p>
          <w:p w14:paraId="6E50B628" w14:textId="77777777" w:rsidR="00AE02BD" w:rsidRPr="006F46E6" w:rsidRDefault="00AE02BD" w:rsidP="00AE02BD">
            <w:pPr>
              <w:rPr>
                <w:rFonts w:ascii="Arial" w:hAnsi="Arial" w:cs="Arial"/>
                <w:i/>
                <w:iCs/>
                <w:sz w:val="24"/>
                <w:szCs w:val="24"/>
              </w:rPr>
            </w:pPr>
            <w:r w:rsidRPr="006F46E6">
              <w:rPr>
                <w:rFonts w:ascii="Arial" w:hAnsi="Arial" w:cs="Arial"/>
                <w:i/>
                <w:iCs/>
                <w:sz w:val="24"/>
                <w:szCs w:val="24"/>
              </w:rPr>
              <w:t>Poljoprivredno zemljište</w:t>
            </w:r>
          </w:p>
        </w:tc>
        <w:tc>
          <w:tcPr>
            <w:tcW w:w="1148" w:type="dxa"/>
          </w:tcPr>
          <w:p w14:paraId="2969171E" w14:textId="77777777" w:rsidR="00AE02BD" w:rsidRDefault="00AE02BD" w:rsidP="00AE02BD">
            <w:pPr>
              <w:rPr>
                <w:rFonts w:ascii="Arial" w:hAnsi="Arial" w:cs="Arial"/>
                <w:sz w:val="24"/>
                <w:szCs w:val="24"/>
              </w:rPr>
            </w:pPr>
          </w:p>
          <w:p w14:paraId="3FA893AB" w14:textId="77777777" w:rsidR="00AE02BD" w:rsidRPr="006F46E6" w:rsidRDefault="00AE02BD" w:rsidP="00AE02BD">
            <w:pPr>
              <w:rPr>
                <w:rFonts w:ascii="Arial" w:hAnsi="Arial" w:cs="Arial"/>
                <w:sz w:val="24"/>
                <w:szCs w:val="24"/>
              </w:rPr>
            </w:pPr>
            <w:r>
              <w:rPr>
                <w:rFonts w:ascii="Arial" w:hAnsi="Arial" w:cs="Arial"/>
                <w:sz w:val="24"/>
                <w:szCs w:val="24"/>
              </w:rPr>
              <w:t>100,00</w:t>
            </w:r>
          </w:p>
        </w:tc>
        <w:tc>
          <w:tcPr>
            <w:tcW w:w="1148" w:type="dxa"/>
          </w:tcPr>
          <w:p w14:paraId="4135E2AF" w14:textId="77777777" w:rsidR="00AE02BD" w:rsidRDefault="00AE02BD" w:rsidP="00AE02BD">
            <w:pPr>
              <w:rPr>
                <w:rFonts w:ascii="Arial" w:hAnsi="Arial" w:cs="Arial"/>
                <w:sz w:val="24"/>
                <w:szCs w:val="24"/>
              </w:rPr>
            </w:pPr>
          </w:p>
          <w:p w14:paraId="4B462C10" w14:textId="77777777" w:rsidR="00AE02BD" w:rsidRPr="006F46E6" w:rsidRDefault="00AE02BD" w:rsidP="00AE02BD">
            <w:pPr>
              <w:rPr>
                <w:rFonts w:ascii="Arial" w:hAnsi="Arial" w:cs="Arial"/>
                <w:sz w:val="24"/>
                <w:szCs w:val="24"/>
              </w:rPr>
            </w:pPr>
            <w:r>
              <w:rPr>
                <w:rFonts w:ascii="Arial" w:hAnsi="Arial" w:cs="Arial"/>
                <w:sz w:val="24"/>
                <w:szCs w:val="24"/>
              </w:rPr>
              <w:t>103,00</w:t>
            </w:r>
          </w:p>
        </w:tc>
        <w:tc>
          <w:tcPr>
            <w:tcW w:w="1148" w:type="dxa"/>
          </w:tcPr>
          <w:p w14:paraId="5E154F82" w14:textId="77777777" w:rsidR="00AE02BD" w:rsidRDefault="00AE02BD" w:rsidP="00AE02BD">
            <w:pPr>
              <w:rPr>
                <w:rFonts w:ascii="Arial" w:hAnsi="Arial" w:cs="Arial"/>
                <w:sz w:val="24"/>
                <w:szCs w:val="24"/>
              </w:rPr>
            </w:pPr>
          </w:p>
          <w:p w14:paraId="72980511" w14:textId="77777777" w:rsidR="00AE02BD" w:rsidRPr="006F46E6" w:rsidRDefault="00AE02BD" w:rsidP="00AE02BD">
            <w:pPr>
              <w:rPr>
                <w:rFonts w:ascii="Arial" w:hAnsi="Arial" w:cs="Arial"/>
                <w:sz w:val="24"/>
                <w:szCs w:val="24"/>
              </w:rPr>
            </w:pPr>
            <w:r>
              <w:rPr>
                <w:rFonts w:ascii="Arial" w:hAnsi="Arial" w:cs="Arial"/>
                <w:sz w:val="24"/>
                <w:szCs w:val="24"/>
              </w:rPr>
              <w:t>107,17</w:t>
            </w:r>
          </w:p>
        </w:tc>
        <w:tc>
          <w:tcPr>
            <w:tcW w:w="1148" w:type="dxa"/>
          </w:tcPr>
          <w:p w14:paraId="4D074B05" w14:textId="77777777" w:rsidR="00AE02BD" w:rsidRDefault="00AE02BD" w:rsidP="00AE02BD">
            <w:pPr>
              <w:rPr>
                <w:rFonts w:ascii="Arial" w:hAnsi="Arial" w:cs="Arial"/>
                <w:sz w:val="24"/>
                <w:szCs w:val="24"/>
              </w:rPr>
            </w:pPr>
          </w:p>
          <w:p w14:paraId="2BD5E3BF" w14:textId="77777777" w:rsidR="00AE02BD" w:rsidRPr="006F46E6" w:rsidRDefault="00AE02BD" w:rsidP="00AE02BD">
            <w:pPr>
              <w:rPr>
                <w:rFonts w:ascii="Arial" w:hAnsi="Arial" w:cs="Arial"/>
                <w:sz w:val="24"/>
                <w:szCs w:val="24"/>
              </w:rPr>
            </w:pPr>
            <w:r>
              <w:rPr>
                <w:rFonts w:ascii="Arial" w:hAnsi="Arial" w:cs="Arial"/>
                <w:sz w:val="24"/>
                <w:szCs w:val="24"/>
              </w:rPr>
              <w:t>117,35</w:t>
            </w:r>
          </w:p>
        </w:tc>
        <w:tc>
          <w:tcPr>
            <w:tcW w:w="1148" w:type="dxa"/>
          </w:tcPr>
          <w:p w14:paraId="478EE390" w14:textId="77777777" w:rsidR="00AE02BD" w:rsidRDefault="00AE02BD" w:rsidP="00AE02BD">
            <w:pPr>
              <w:rPr>
                <w:rFonts w:ascii="Arial" w:hAnsi="Arial" w:cs="Arial"/>
                <w:sz w:val="24"/>
                <w:szCs w:val="24"/>
              </w:rPr>
            </w:pPr>
          </w:p>
          <w:p w14:paraId="4FBCE899" w14:textId="77777777" w:rsidR="00AE02BD" w:rsidRDefault="00AE02BD" w:rsidP="00AE02BD">
            <w:pPr>
              <w:rPr>
                <w:rFonts w:ascii="Arial" w:hAnsi="Arial" w:cs="Arial"/>
                <w:sz w:val="24"/>
                <w:szCs w:val="24"/>
              </w:rPr>
            </w:pPr>
            <w:r>
              <w:rPr>
                <w:rFonts w:ascii="Arial" w:hAnsi="Arial" w:cs="Arial"/>
                <w:sz w:val="24"/>
                <w:szCs w:val="24"/>
              </w:rPr>
              <w:t>139,70</w:t>
            </w:r>
          </w:p>
          <w:p w14:paraId="1D3414E5" w14:textId="77777777" w:rsidR="00AE02BD" w:rsidRPr="006F46E6" w:rsidRDefault="00AE02BD" w:rsidP="00AE02BD">
            <w:pPr>
              <w:rPr>
                <w:rFonts w:ascii="Arial" w:hAnsi="Arial" w:cs="Arial"/>
                <w:sz w:val="24"/>
                <w:szCs w:val="24"/>
              </w:rPr>
            </w:pPr>
          </w:p>
        </w:tc>
        <w:tc>
          <w:tcPr>
            <w:tcW w:w="1148" w:type="dxa"/>
          </w:tcPr>
          <w:p w14:paraId="72124A76" w14:textId="77777777" w:rsidR="00AE02BD" w:rsidRDefault="00AE02BD" w:rsidP="00AE02BD">
            <w:pPr>
              <w:rPr>
                <w:rFonts w:ascii="Arial" w:hAnsi="Arial" w:cs="Arial"/>
                <w:sz w:val="24"/>
                <w:szCs w:val="24"/>
              </w:rPr>
            </w:pPr>
          </w:p>
          <w:p w14:paraId="42BF96B0" w14:textId="77777777" w:rsidR="00AE02BD" w:rsidRPr="006F46E6" w:rsidRDefault="00AE02BD" w:rsidP="00AE02BD">
            <w:pPr>
              <w:rPr>
                <w:rFonts w:ascii="Arial" w:hAnsi="Arial" w:cs="Arial"/>
                <w:sz w:val="24"/>
                <w:szCs w:val="24"/>
              </w:rPr>
            </w:pPr>
            <w:r>
              <w:rPr>
                <w:rFonts w:ascii="Arial" w:hAnsi="Arial" w:cs="Arial"/>
                <w:sz w:val="24"/>
                <w:szCs w:val="24"/>
              </w:rPr>
              <w:t>165,77</w:t>
            </w:r>
          </w:p>
        </w:tc>
        <w:tc>
          <w:tcPr>
            <w:tcW w:w="1148" w:type="dxa"/>
          </w:tcPr>
          <w:p w14:paraId="4B04C7A9" w14:textId="77777777" w:rsidR="00AE02BD" w:rsidRDefault="00AE02BD" w:rsidP="00AE02BD">
            <w:pPr>
              <w:rPr>
                <w:rFonts w:ascii="Arial" w:hAnsi="Arial" w:cs="Arial"/>
                <w:sz w:val="24"/>
                <w:szCs w:val="24"/>
              </w:rPr>
            </w:pPr>
          </w:p>
          <w:p w14:paraId="116C838D" w14:textId="77777777" w:rsidR="00AE02BD" w:rsidRPr="006F46E6" w:rsidRDefault="00AE02BD" w:rsidP="00AE02BD">
            <w:pPr>
              <w:rPr>
                <w:rFonts w:ascii="Arial" w:hAnsi="Arial" w:cs="Arial"/>
                <w:sz w:val="24"/>
                <w:szCs w:val="24"/>
              </w:rPr>
            </w:pPr>
            <w:r>
              <w:rPr>
                <w:rFonts w:ascii="Arial" w:hAnsi="Arial" w:cs="Arial"/>
                <w:sz w:val="24"/>
                <w:szCs w:val="24"/>
              </w:rPr>
              <w:t>169,30</w:t>
            </w:r>
          </w:p>
        </w:tc>
        <w:tc>
          <w:tcPr>
            <w:tcW w:w="1148" w:type="dxa"/>
          </w:tcPr>
          <w:p w14:paraId="0AFF73F2" w14:textId="77777777" w:rsidR="00AE02BD" w:rsidRDefault="00AE02BD" w:rsidP="00AE02BD">
            <w:pPr>
              <w:rPr>
                <w:rFonts w:ascii="Arial" w:hAnsi="Arial" w:cs="Arial"/>
                <w:sz w:val="24"/>
                <w:szCs w:val="24"/>
              </w:rPr>
            </w:pPr>
          </w:p>
          <w:p w14:paraId="050FB57A" w14:textId="77777777" w:rsidR="00AE02BD" w:rsidRPr="006F46E6" w:rsidRDefault="00AE02BD" w:rsidP="00AE02BD">
            <w:pPr>
              <w:rPr>
                <w:rFonts w:ascii="Arial" w:hAnsi="Arial" w:cs="Arial"/>
                <w:sz w:val="24"/>
                <w:szCs w:val="24"/>
              </w:rPr>
            </w:pPr>
            <w:r>
              <w:rPr>
                <w:rFonts w:ascii="Arial" w:hAnsi="Arial" w:cs="Arial"/>
                <w:sz w:val="24"/>
                <w:szCs w:val="24"/>
              </w:rPr>
              <w:t>180,05</w:t>
            </w:r>
          </w:p>
        </w:tc>
        <w:tc>
          <w:tcPr>
            <w:tcW w:w="1148" w:type="dxa"/>
          </w:tcPr>
          <w:p w14:paraId="46B1C364" w14:textId="77777777" w:rsidR="00AE02BD" w:rsidRDefault="00AE02BD" w:rsidP="00AE02BD">
            <w:pPr>
              <w:rPr>
                <w:rFonts w:ascii="Arial" w:hAnsi="Arial" w:cs="Arial"/>
                <w:sz w:val="24"/>
                <w:szCs w:val="24"/>
              </w:rPr>
            </w:pPr>
          </w:p>
          <w:p w14:paraId="2CA1A467" w14:textId="77777777" w:rsidR="00AE02BD" w:rsidRPr="006F46E6" w:rsidRDefault="00AE02BD" w:rsidP="00AE02BD">
            <w:pPr>
              <w:rPr>
                <w:rFonts w:ascii="Arial" w:hAnsi="Arial" w:cs="Arial"/>
                <w:sz w:val="24"/>
                <w:szCs w:val="24"/>
              </w:rPr>
            </w:pPr>
            <w:r>
              <w:rPr>
                <w:rFonts w:ascii="Arial" w:hAnsi="Arial" w:cs="Arial"/>
                <w:sz w:val="24"/>
                <w:szCs w:val="24"/>
              </w:rPr>
              <w:t>189,79</w:t>
            </w:r>
          </w:p>
        </w:tc>
        <w:tc>
          <w:tcPr>
            <w:tcW w:w="1148" w:type="dxa"/>
            <w:gridSpan w:val="2"/>
          </w:tcPr>
          <w:p w14:paraId="502CCB6C" w14:textId="77777777" w:rsidR="00AE02BD" w:rsidRDefault="00AE02BD" w:rsidP="00AE02BD">
            <w:pPr>
              <w:rPr>
                <w:rFonts w:ascii="Arial" w:hAnsi="Arial" w:cs="Arial"/>
                <w:sz w:val="24"/>
                <w:szCs w:val="24"/>
              </w:rPr>
            </w:pPr>
          </w:p>
          <w:p w14:paraId="6184DD6D" w14:textId="77777777" w:rsidR="00AE02BD" w:rsidRDefault="00AE02BD" w:rsidP="00AE02BD">
            <w:pPr>
              <w:rPr>
                <w:rFonts w:ascii="Arial" w:hAnsi="Arial" w:cs="Arial"/>
                <w:sz w:val="24"/>
                <w:szCs w:val="24"/>
              </w:rPr>
            </w:pPr>
            <w:r>
              <w:rPr>
                <w:rFonts w:ascii="Arial" w:hAnsi="Arial" w:cs="Arial"/>
                <w:sz w:val="24"/>
                <w:szCs w:val="24"/>
              </w:rPr>
              <w:t>202,97</w:t>
            </w:r>
          </w:p>
        </w:tc>
      </w:tr>
      <w:tr w:rsidR="003D68B2" w14:paraId="1041E1C8" w14:textId="77777777" w:rsidTr="003D68B2">
        <w:trPr>
          <w:gridAfter w:val="1"/>
          <w:wAfter w:w="11" w:type="dxa"/>
          <w:trHeight w:val="261"/>
        </w:trPr>
        <w:tc>
          <w:tcPr>
            <w:tcW w:w="2597" w:type="dxa"/>
            <w:shd w:val="clear" w:color="auto" w:fill="E2EFD9" w:themeFill="accent6" w:themeFillTint="33"/>
          </w:tcPr>
          <w:p w14:paraId="585C8DA1" w14:textId="77777777" w:rsidR="00AE02BD" w:rsidRPr="006F46E6" w:rsidRDefault="00AE02BD" w:rsidP="00AE02BD">
            <w:pPr>
              <w:rPr>
                <w:rFonts w:ascii="Arial" w:hAnsi="Arial" w:cs="Arial"/>
                <w:i/>
                <w:iCs/>
                <w:sz w:val="24"/>
                <w:szCs w:val="24"/>
              </w:rPr>
            </w:pPr>
          </w:p>
          <w:p w14:paraId="71B245C2" w14:textId="77777777" w:rsidR="00AE02BD" w:rsidRPr="006F46E6" w:rsidRDefault="00AE02BD" w:rsidP="00AE02BD">
            <w:pPr>
              <w:rPr>
                <w:rFonts w:ascii="Arial" w:hAnsi="Arial" w:cs="Arial"/>
                <w:i/>
                <w:iCs/>
                <w:sz w:val="24"/>
                <w:szCs w:val="24"/>
              </w:rPr>
            </w:pPr>
            <w:r w:rsidRPr="006F46E6">
              <w:rPr>
                <w:rFonts w:ascii="Arial" w:hAnsi="Arial" w:cs="Arial"/>
                <w:i/>
                <w:iCs/>
                <w:sz w:val="24"/>
                <w:szCs w:val="24"/>
              </w:rPr>
              <w:t>Šumsko zemljište</w:t>
            </w:r>
          </w:p>
        </w:tc>
        <w:tc>
          <w:tcPr>
            <w:tcW w:w="1148" w:type="dxa"/>
          </w:tcPr>
          <w:p w14:paraId="5F2B0F5F" w14:textId="77777777" w:rsidR="00AE02BD" w:rsidRDefault="00AE02BD" w:rsidP="00AE02BD">
            <w:pPr>
              <w:rPr>
                <w:rFonts w:ascii="Arial" w:hAnsi="Arial" w:cs="Arial"/>
                <w:sz w:val="24"/>
                <w:szCs w:val="24"/>
              </w:rPr>
            </w:pPr>
          </w:p>
          <w:p w14:paraId="11F99EEF" w14:textId="77777777" w:rsidR="00AE02BD" w:rsidRPr="006F46E6" w:rsidRDefault="00AE02BD" w:rsidP="00AE02BD">
            <w:pPr>
              <w:rPr>
                <w:rFonts w:ascii="Arial" w:hAnsi="Arial" w:cs="Arial"/>
                <w:sz w:val="24"/>
                <w:szCs w:val="24"/>
              </w:rPr>
            </w:pPr>
            <w:r>
              <w:rPr>
                <w:rFonts w:ascii="Arial" w:hAnsi="Arial" w:cs="Arial"/>
                <w:sz w:val="24"/>
                <w:szCs w:val="24"/>
              </w:rPr>
              <w:t>100,00</w:t>
            </w:r>
          </w:p>
        </w:tc>
        <w:tc>
          <w:tcPr>
            <w:tcW w:w="1148" w:type="dxa"/>
          </w:tcPr>
          <w:p w14:paraId="3052EE1F" w14:textId="77777777" w:rsidR="00AE02BD" w:rsidRDefault="00AE02BD" w:rsidP="00AE02BD">
            <w:pPr>
              <w:rPr>
                <w:rFonts w:ascii="Arial" w:hAnsi="Arial" w:cs="Arial"/>
                <w:sz w:val="24"/>
                <w:szCs w:val="24"/>
              </w:rPr>
            </w:pPr>
          </w:p>
          <w:p w14:paraId="7885F70C" w14:textId="77777777" w:rsidR="00AE02BD" w:rsidRPr="006F46E6" w:rsidRDefault="00AE02BD" w:rsidP="00AE02BD">
            <w:pPr>
              <w:rPr>
                <w:rFonts w:ascii="Arial" w:hAnsi="Arial" w:cs="Arial"/>
                <w:sz w:val="24"/>
                <w:szCs w:val="24"/>
              </w:rPr>
            </w:pPr>
            <w:r>
              <w:rPr>
                <w:rFonts w:ascii="Arial" w:hAnsi="Arial" w:cs="Arial"/>
                <w:sz w:val="24"/>
                <w:szCs w:val="24"/>
              </w:rPr>
              <w:t>101,22</w:t>
            </w:r>
          </w:p>
        </w:tc>
        <w:tc>
          <w:tcPr>
            <w:tcW w:w="1148" w:type="dxa"/>
          </w:tcPr>
          <w:p w14:paraId="466374C1" w14:textId="77777777" w:rsidR="00AE02BD" w:rsidRDefault="00AE02BD" w:rsidP="00AE02BD">
            <w:pPr>
              <w:rPr>
                <w:rFonts w:ascii="Arial" w:hAnsi="Arial" w:cs="Arial"/>
                <w:sz w:val="24"/>
                <w:szCs w:val="24"/>
              </w:rPr>
            </w:pPr>
          </w:p>
          <w:p w14:paraId="7082F171" w14:textId="77777777" w:rsidR="00AE02BD" w:rsidRPr="006F46E6" w:rsidRDefault="00AE02BD" w:rsidP="00AE02BD">
            <w:pPr>
              <w:rPr>
                <w:rFonts w:ascii="Arial" w:hAnsi="Arial" w:cs="Arial"/>
                <w:sz w:val="24"/>
                <w:szCs w:val="24"/>
              </w:rPr>
            </w:pPr>
            <w:r>
              <w:rPr>
                <w:rFonts w:ascii="Arial" w:hAnsi="Arial" w:cs="Arial"/>
                <w:sz w:val="24"/>
                <w:szCs w:val="24"/>
              </w:rPr>
              <w:t>106,10</w:t>
            </w:r>
          </w:p>
        </w:tc>
        <w:tc>
          <w:tcPr>
            <w:tcW w:w="1148" w:type="dxa"/>
          </w:tcPr>
          <w:p w14:paraId="6A757A61" w14:textId="77777777" w:rsidR="00AE02BD" w:rsidRDefault="00AE02BD" w:rsidP="00AE02BD">
            <w:pPr>
              <w:rPr>
                <w:rFonts w:ascii="Arial" w:hAnsi="Arial" w:cs="Arial"/>
                <w:sz w:val="24"/>
                <w:szCs w:val="24"/>
              </w:rPr>
            </w:pPr>
          </w:p>
          <w:p w14:paraId="37E4BEAB" w14:textId="77777777" w:rsidR="00AE02BD" w:rsidRPr="006F46E6" w:rsidRDefault="00AE02BD" w:rsidP="00AE02BD">
            <w:pPr>
              <w:rPr>
                <w:rFonts w:ascii="Arial" w:hAnsi="Arial" w:cs="Arial"/>
                <w:sz w:val="24"/>
                <w:szCs w:val="24"/>
              </w:rPr>
            </w:pPr>
            <w:r>
              <w:rPr>
                <w:rFonts w:ascii="Arial" w:hAnsi="Arial" w:cs="Arial"/>
                <w:sz w:val="24"/>
                <w:szCs w:val="24"/>
              </w:rPr>
              <w:t>157,32</w:t>
            </w:r>
          </w:p>
        </w:tc>
        <w:tc>
          <w:tcPr>
            <w:tcW w:w="1148" w:type="dxa"/>
          </w:tcPr>
          <w:p w14:paraId="5D738162" w14:textId="77777777" w:rsidR="00AE02BD" w:rsidRDefault="00AE02BD" w:rsidP="00AE02BD">
            <w:pPr>
              <w:rPr>
                <w:rFonts w:ascii="Arial" w:hAnsi="Arial" w:cs="Arial"/>
                <w:sz w:val="24"/>
                <w:szCs w:val="24"/>
              </w:rPr>
            </w:pPr>
          </w:p>
          <w:p w14:paraId="33376F95" w14:textId="77777777" w:rsidR="00AE02BD" w:rsidRPr="006F46E6" w:rsidRDefault="00AE02BD" w:rsidP="00AE02BD">
            <w:pPr>
              <w:rPr>
                <w:rFonts w:ascii="Arial" w:hAnsi="Arial" w:cs="Arial"/>
                <w:sz w:val="24"/>
                <w:szCs w:val="24"/>
              </w:rPr>
            </w:pPr>
            <w:r>
              <w:rPr>
                <w:rFonts w:ascii="Arial" w:hAnsi="Arial" w:cs="Arial"/>
                <w:sz w:val="24"/>
                <w:szCs w:val="24"/>
              </w:rPr>
              <w:t>171,95</w:t>
            </w:r>
          </w:p>
        </w:tc>
        <w:tc>
          <w:tcPr>
            <w:tcW w:w="1148" w:type="dxa"/>
          </w:tcPr>
          <w:p w14:paraId="70C07EF1" w14:textId="77777777" w:rsidR="00AE02BD" w:rsidRDefault="00AE02BD" w:rsidP="00AE02BD">
            <w:pPr>
              <w:rPr>
                <w:rFonts w:ascii="Arial" w:hAnsi="Arial" w:cs="Arial"/>
                <w:sz w:val="24"/>
                <w:szCs w:val="24"/>
              </w:rPr>
            </w:pPr>
          </w:p>
          <w:p w14:paraId="23D2DF42" w14:textId="77777777" w:rsidR="00AE02BD" w:rsidRPr="006F46E6" w:rsidRDefault="00AE02BD" w:rsidP="00AE02BD">
            <w:pPr>
              <w:rPr>
                <w:rFonts w:ascii="Arial" w:hAnsi="Arial" w:cs="Arial"/>
                <w:sz w:val="24"/>
                <w:szCs w:val="24"/>
              </w:rPr>
            </w:pPr>
            <w:r>
              <w:rPr>
                <w:rFonts w:ascii="Arial" w:hAnsi="Arial" w:cs="Arial"/>
                <w:sz w:val="24"/>
                <w:szCs w:val="24"/>
              </w:rPr>
              <w:t>175,28</w:t>
            </w:r>
          </w:p>
        </w:tc>
        <w:tc>
          <w:tcPr>
            <w:tcW w:w="1148" w:type="dxa"/>
          </w:tcPr>
          <w:p w14:paraId="6BCBBC9E" w14:textId="77777777" w:rsidR="00AE02BD" w:rsidRDefault="00AE02BD" w:rsidP="00AE02BD">
            <w:pPr>
              <w:rPr>
                <w:rFonts w:ascii="Arial" w:hAnsi="Arial" w:cs="Arial"/>
                <w:sz w:val="24"/>
                <w:szCs w:val="24"/>
              </w:rPr>
            </w:pPr>
          </w:p>
          <w:p w14:paraId="020FEAD8" w14:textId="77777777" w:rsidR="00AE02BD" w:rsidRPr="006F46E6" w:rsidRDefault="00AE02BD" w:rsidP="00AE02BD">
            <w:pPr>
              <w:rPr>
                <w:rFonts w:ascii="Arial" w:hAnsi="Arial" w:cs="Arial"/>
                <w:sz w:val="24"/>
                <w:szCs w:val="24"/>
              </w:rPr>
            </w:pPr>
            <w:r>
              <w:rPr>
                <w:rFonts w:ascii="Arial" w:hAnsi="Arial" w:cs="Arial"/>
                <w:sz w:val="24"/>
                <w:szCs w:val="24"/>
              </w:rPr>
              <w:t>194,21</w:t>
            </w:r>
          </w:p>
        </w:tc>
        <w:tc>
          <w:tcPr>
            <w:tcW w:w="1148" w:type="dxa"/>
          </w:tcPr>
          <w:p w14:paraId="37B1143F" w14:textId="77777777" w:rsidR="00AE02BD" w:rsidRDefault="00AE02BD" w:rsidP="00AE02BD">
            <w:pPr>
              <w:rPr>
                <w:rFonts w:ascii="Arial" w:hAnsi="Arial" w:cs="Arial"/>
                <w:sz w:val="24"/>
                <w:szCs w:val="24"/>
              </w:rPr>
            </w:pPr>
          </w:p>
          <w:p w14:paraId="1F627C13" w14:textId="77777777" w:rsidR="00AE02BD" w:rsidRPr="006F46E6" w:rsidRDefault="00AE02BD" w:rsidP="00AE02BD">
            <w:pPr>
              <w:rPr>
                <w:rFonts w:ascii="Arial" w:hAnsi="Arial" w:cs="Arial"/>
                <w:sz w:val="24"/>
                <w:szCs w:val="24"/>
              </w:rPr>
            </w:pPr>
            <w:r>
              <w:rPr>
                <w:rFonts w:ascii="Arial" w:hAnsi="Arial" w:cs="Arial"/>
                <w:sz w:val="24"/>
                <w:szCs w:val="24"/>
              </w:rPr>
              <w:t>204,88</w:t>
            </w:r>
          </w:p>
        </w:tc>
        <w:tc>
          <w:tcPr>
            <w:tcW w:w="1148" w:type="dxa"/>
          </w:tcPr>
          <w:p w14:paraId="203E9E73" w14:textId="77777777" w:rsidR="00AE02BD" w:rsidRDefault="00AE02BD" w:rsidP="00AE02BD">
            <w:pPr>
              <w:rPr>
                <w:rFonts w:ascii="Arial" w:hAnsi="Arial" w:cs="Arial"/>
                <w:sz w:val="24"/>
                <w:szCs w:val="24"/>
              </w:rPr>
            </w:pPr>
          </w:p>
          <w:p w14:paraId="1D516870" w14:textId="77777777" w:rsidR="00AE02BD" w:rsidRPr="006F46E6" w:rsidRDefault="00AE02BD" w:rsidP="00AE02BD">
            <w:pPr>
              <w:rPr>
                <w:rFonts w:ascii="Arial" w:hAnsi="Arial" w:cs="Arial"/>
                <w:sz w:val="24"/>
                <w:szCs w:val="24"/>
              </w:rPr>
            </w:pPr>
            <w:r>
              <w:rPr>
                <w:rFonts w:ascii="Arial" w:hAnsi="Arial" w:cs="Arial"/>
                <w:sz w:val="24"/>
                <w:szCs w:val="24"/>
              </w:rPr>
              <w:t>216,46</w:t>
            </w:r>
          </w:p>
        </w:tc>
        <w:tc>
          <w:tcPr>
            <w:tcW w:w="1148" w:type="dxa"/>
            <w:gridSpan w:val="2"/>
          </w:tcPr>
          <w:p w14:paraId="57204F2D" w14:textId="77777777" w:rsidR="00AE02BD" w:rsidRDefault="00AE02BD" w:rsidP="00AE02BD">
            <w:pPr>
              <w:rPr>
                <w:rFonts w:ascii="Arial" w:hAnsi="Arial" w:cs="Arial"/>
                <w:sz w:val="24"/>
                <w:szCs w:val="24"/>
              </w:rPr>
            </w:pPr>
          </w:p>
          <w:p w14:paraId="0D8A5DEC" w14:textId="77777777" w:rsidR="00AE02BD" w:rsidRDefault="00AE02BD" w:rsidP="00AE02BD">
            <w:pPr>
              <w:rPr>
                <w:rFonts w:ascii="Arial" w:hAnsi="Arial" w:cs="Arial"/>
                <w:sz w:val="24"/>
                <w:szCs w:val="24"/>
              </w:rPr>
            </w:pPr>
            <w:r>
              <w:rPr>
                <w:rFonts w:ascii="Arial" w:hAnsi="Arial" w:cs="Arial"/>
                <w:sz w:val="24"/>
                <w:szCs w:val="24"/>
              </w:rPr>
              <w:t>220,43</w:t>
            </w:r>
          </w:p>
        </w:tc>
      </w:tr>
      <w:tr w:rsidR="003D68B2" w14:paraId="33F6164A" w14:textId="77777777" w:rsidTr="003D68B2">
        <w:trPr>
          <w:gridAfter w:val="1"/>
          <w:wAfter w:w="11" w:type="dxa"/>
          <w:trHeight w:val="274"/>
        </w:trPr>
        <w:tc>
          <w:tcPr>
            <w:tcW w:w="2597" w:type="dxa"/>
            <w:shd w:val="clear" w:color="auto" w:fill="E2EFD9" w:themeFill="accent6" w:themeFillTint="33"/>
          </w:tcPr>
          <w:p w14:paraId="4A7F6E3A" w14:textId="77777777" w:rsidR="00AE02BD" w:rsidRPr="006F46E6" w:rsidRDefault="00AE02BD" w:rsidP="00AE02BD">
            <w:pPr>
              <w:rPr>
                <w:rFonts w:ascii="Arial" w:hAnsi="Arial" w:cs="Arial"/>
                <w:i/>
                <w:iCs/>
                <w:sz w:val="24"/>
                <w:szCs w:val="24"/>
              </w:rPr>
            </w:pPr>
          </w:p>
          <w:p w14:paraId="15B4863B" w14:textId="77777777" w:rsidR="00AE02BD" w:rsidRPr="006F46E6" w:rsidRDefault="00AE02BD" w:rsidP="00AE02BD">
            <w:pPr>
              <w:rPr>
                <w:rFonts w:ascii="Arial" w:hAnsi="Arial" w:cs="Arial"/>
                <w:i/>
                <w:iCs/>
                <w:sz w:val="24"/>
                <w:szCs w:val="24"/>
              </w:rPr>
            </w:pPr>
            <w:r w:rsidRPr="006F46E6">
              <w:rPr>
                <w:rFonts w:ascii="Arial" w:hAnsi="Arial" w:cs="Arial"/>
                <w:i/>
                <w:iCs/>
                <w:sz w:val="24"/>
                <w:szCs w:val="24"/>
              </w:rPr>
              <w:t>Stanovi/apartmani</w:t>
            </w:r>
          </w:p>
        </w:tc>
        <w:tc>
          <w:tcPr>
            <w:tcW w:w="1148" w:type="dxa"/>
          </w:tcPr>
          <w:p w14:paraId="498E5322" w14:textId="77777777" w:rsidR="00AE02BD" w:rsidRDefault="00AE02BD" w:rsidP="00AE02BD">
            <w:pPr>
              <w:rPr>
                <w:rFonts w:ascii="Arial" w:hAnsi="Arial" w:cs="Arial"/>
                <w:sz w:val="24"/>
                <w:szCs w:val="24"/>
              </w:rPr>
            </w:pPr>
          </w:p>
          <w:p w14:paraId="7418270D" w14:textId="77777777" w:rsidR="00AE02BD" w:rsidRPr="006F46E6" w:rsidRDefault="00AE02BD" w:rsidP="00AE02BD">
            <w:pPr>
              <w:rPr>
                <w:rFonts w:ascii="Arial" w:hAnsi="Arial" w:cs="Arial"/>
                <w:sz w:val="24"/>
                <w:szCs w:val="24"/>
              </w:rPr>
            </w:pPr>
            <w:r>
              <w:rPr>
                <w:rFonts w:ascii="Arial" w:hAnsi="Arial" w:cs="Arial"/>
                <w:sz w:val="24"/>
                <w:szCs w:val="24"/>
              </w:rPr>
              <w:t>100,00</w:t>
            </w:r>
          </w:p>
        </w:tc>
        <w:tc>
          <w:tcPr>
            <w:tcW w:w="1148" w:type="dxa"/>
          </w:tcPr>
          <w:p w14:paraId="5D9F068C" w14:textId="77777777" w:rsidR="00AE02BD" w:rsidRDefault="00AE02BD" w:rsidP="00AE02BD">
            <w:pPr>
              <w:rPr>
                <w:rFonts w:ascii="Arial" w:hAnsi="Arial" w:cs="Arial"/>
                <w:sz w:val="24"/>
                <w:szCs w:val="24"/>
              </w:rPr>
            </w:pPr>
          </w:p>
          <w:p w14:paraId="38CB0732" w14:textId="77777777" w:rsidR="00AE02BD" w:rsidRPr="006F46E6" w:rsidRDefault="00AE02BD" w:rsidP="00AE02BD">
            <w:pPr>
              <w:rPr>
                <w:rFonts w:ascii="Arial" w:hAnsi="Arial" w:cs="Arial"/>
                <w:sz w:val="24"/>
                <w:szCs w:val="24"/>
              </w:rPr>
            </w:pPr>
            <w:r>
              <w:rPr>
                <w:rFonts w:ascii="Arial" w:hAnsi="Arial" w:cs="Arial"/>
                <w:sz w:val="24"/>
                <w:szCs w:val="24"/>
              </w:rPr>
              <w:t>108,85</w:t>
            </w:r>
          </w:p>
        </w:tc>
        <w:tc>
          <w:tcPr>
            <w:tcW w:w="1148" w:type="dxa"/>
          </w:tcPr>
          <w:p w14:paraId="5FDFD6F0" w14:textId="77777777" w:rsidR="00AE02BD" w:rsidRDefault="00AE02BD" w:rsidP="00AE02BD">
            <w:pPr>
              <w:rPr>
                <w:rFonts w:ascii="Arial" w:hAnsi="Arial" w:cs="Arial"/>
                <w:sz w:val="24"/>
                <w:szCs w:val="24"/>
              </w:rPr>
            </w:pPr>
          </w:p>
          <w:p w14:paraId="2945A3DC" w14:textId="77777777" w:rsidR="00AE02BD" w:rsidRPr="006F46E6" w:rsidRDefault="00AE02BD" w:rsidP="00AE02BD">
            <w:pPr>
              <w:rPr>
                <w:rFonts w:ascii="Arial" w:hAnsi="Arial" w:cs="Arial"/>
                <w:sz w:val="24"/>
                <w:szCs w:val="24"/>
              </w:rPr>
            </w:pPr>
            <w:r>
              <w:rPr>
                <w:rFonts w:ascii="Arial" w:hAnsi="Arial" w:cs="Arial"/>
                <w:sz w:val="24"/>
                <w:szCs w:val="24"/>
              </w:rPr>
              <w:t>108,97</w:t>
            </w:r>
          </w:p>
        </w:tc>
        <w:tc>
          <w:tcPr>
            <w:tcW w:w="1148" w:type="dxa"/>
          </w:tcPr>
          <w:p w14:paraId="6FABED42" w14:textId="77777777" w:rsidR="00AE02BD" w:rsidRDefault="00AE02BD" w:rsidP="00AE02BD">
            <w:pPr>
              <w:rPr>
                <w:rFonts w:ascii="Arial" w:hAnsi="Arial" w:cs="Arial"/>
                <w:sz w:val="24"/>
                <w:szCs w:val="24"/>
              </w:rPr>
            </w:pPr>
          </w:p>
          <w:p w14:paraId="31BA01FA" w14:textId="77777777" w:rsidR="00AE02BD" w:rsidRPr="006F46E6" w:rsidRDefault="00AE02BD" w:rsidP="00AE02BD">
            <w:pPr>
              <w:rPr>
                <w:rFonts w:ascii="Arial" w:hAnsi="Arial" w:cs="Arial"/>
                <w:sz w:val="24"/>
                <w:szCs w:val="24"/>
              </w:rPr>
            </w:pPr>
            <w:r>
              <w:rPr>
                <w:rFonts w:ascii="Arial" w:hAnsi="Arial" w:cs="Arial"/>
                <w:sz w:val="24"/>
                <w:szCs w:val="24"/>
              </w:rPr>
              <w:t>109,70</w:t>
            </w:r>
          </w:p>
        </w:tc>
        <w:tc>
          <w:tcPr>
            <w:tcW w:w="1148" w:type="dxa"/>
          </w:tcPr>
          <w:p w14:paraId="47EA972E" w14:textId="77777777" w:rsidR="00AE02BD" w:rsidRDefault="00AE02BD" w:rsidP="00AE02BD">
            <w:pPr>
              <w:rPr>
                <w:rFonts w:ascii="Arial" w:hAnsi="Arial" w:cs="Arial"/>
                <w:sz w:val="24"/>
                <w:szCs w:val="24"/>
              </w:rPr>
            </w:pPr>
          </w:p>
          <w:p w14:paraId="0DB6A4DE" w14:textId="77777777" w:rsidR="00AE02BD" w:rsidRPr="006F46E6" w:rsidRDefault="00AE02BD" w:rsidP="00AE02BD">
            <w:pPr>
              <w:rPr>
                <w:rFonts w:ascii="Arial" w:hAnsi="Arial" w:cs="Arial"/>
                <w:sz w:val="24"/>
                <w:szCs w:val="24"/>
              </w:rPr>
            </w:pPr>
            <w:r>
              <w:rPr>
                <w:rFonts w:ascii="Arial" w:hAnsi="Arial" w:cs="Arial"/>
                <w:sz w:val="24"/>
                <w:szCs w:val="24"/>
              </w:rPr>
              <w:t>110,27</w:t>
            </w:r>
          </w:p>
        </w:tc>
        <w:tc>
          <w:tcPr>
            <w:tcW w:w="1148" w:type="dxa"/>
          </w:tcPr>
          <w:p w14:paraId="32DF945E" w14:textId="77777777" w:rsidR="00AE02BD" w:rsidRDefault="00AE02BD" w:rsidP="00AE02BD">
            <w:pPr>
              <w:rPr>
                <w:rFonts w:ascii="Arial" w:hAnsi="Arial" w:cs="Arial"/>
                <w:sz w:val="24"/>
                <w:szCs w:val="24"/>
              </w:rPr>
            </w:pPr>
          </w:p>
          <w:p w14:paraId="464BAB12" w14:textId="77777777" w:rsidR="00AE02BD" w:rsidRPr="006F46E6" w:rsidRDefault="00AE02BD" w:rsidP="00AE02BD">
            <w:pPr>
              <w:rPr>
                <w:rFonts w:ascii="Arial" w:hAnsi="Arial" w:cs="Arial"/>
                <w:sz w:val="24"/>
                <w:szCs w:val="24"/>
              </w:rPr>
            </w:pPr>
            <w:r>
              <w:rPr>
                <w:rFonts w:ascii="Arial" w:hAnsi="Arial" w:cs="Arial"/>
                <w:sz w:val="24"/>
                <w:szCs w:val="24"/>
              </w:rPr>
              <w:t>123,82</w:t>
            </w:r>
          </w:p>
        </w:tc>
        <w:tc>
          <w:tcPr>
            <w:tcW w:w="1148" w:type="dxa"/>
          </w:tcPr>
          <w:p w14:paraId="5FEEB1F8" w14:textId="77777777" w:rsidR="00AE02BD" w:rsidRDefault="00AE02BD" w:rsidP="00AE02BD">
            <w:pPr>
              <w:rPr>
                <w:rFonts w:ascii="Arial" w:hAnsi="Arial" w:cs="Arial"/>
                <w:sz w:val="24"/>
                <w:szCs w:val="24"/>
              </w:rPr>
            </w:pPr>
          </w:p>
          <w:p w14:paraId="632E6E87" w14:textId="77777777" w:rsidR="00AE02BD" w:rsidRPr="006F46E6" w:rsidRDefault="00AE02BD" w:rsidP="00AE02BD">
            <w:pPr>
              <w:rPr>
                <w:rFonts w:ascii="Arial" w:hAnsi="Arial" w:cs="Arial"/>
                <w:sz w:val="24"/>
                <w:szCs w:val="24"/>
              </w:rPr>
            </w:pPr>
            <w:r>
              <w:rPr>
                <w:rFonts w:ascii="Arial" w:hAnsi="Arial" w:cs="Arial"/>
                <w:sz w:val="24"/>
                <w:szCs w:val="24"/>
              </w:rPr>
              <w:t>124,89</w:t>
            </w:r>
          </w:p>
        </w:tc>
        <w:tc>
          <w:tcPr>
            <w:tcW w:w="1148" w:type="dxa"/>
          </w:tcPr>
          <w:p w14:paraId="07531F6B" w14:textId="77777777" w:rsidR="00AE02BD" w:rsidRDefault="00AE02BD" w:rsidP="00AE02BD">
            <w:pPr>
              <w:rPr>
                <w:rFonts w:ascii="Arial" w:hAnsi="Arial" w:cs="Arial"/>
                <w:sz w:val="24"/>
                <w:szCs w:val="24"/>
              </w:rPr>
            </w:pPr>
          </w:p>
          <w:p w14:paraId="1AE8EE57" w14:textId="77777777" w:rsidR="00AE02BD" w:rsidRPr="006F46E6" w:rsidRDefault="00AE02BD" w:rsidP="00AE02BD">
            <w:pPr>
              <w:rPr>
                <w:rFonts w:ascii="Arial" w:hAnsi="Arial" w:cs="Arial"/>
                <w:sz w:val="24"/>
                <w:szCs w:val="24"/>
              </w:rPr>
            </w:pPr>
            <w:r>
              <w:rPr>
                <w:rFonts w:ascii="Arial" w:hAnsi="Arial" w:cs="Arial"/>
                <w:sz w:val="24"/>
                <w:szCs w:val="24"/>
              </w:rPr>
              <w:t>128,58</w:t>
            </w:r>
          </w:p>
        </w:tc>
        <w:tc>
          <w:tcPr>
            <w:tcW w:w="1148" w:type="dxa"/>
          </w:tcPr>
          <w:p w14:paraId="750C485C" w14:textId="77777777" w:rsidR="00AE02BD" w:rsidRDefault="00AE02BD" w:rsidP="00AE02BD">
            <w:pPr>
              <w:rPr>
                <w:rFonts w:ascii="Arial" w:hAnsi="Arial" w:cs="Arial"/>
                <w:sz w:val="24"/>
                <w:szCs w:val="24"/>
              </w:rPr>
            </w:pPr>
          </w:p>
          <w:p w14:paraId="7340D992" w14:textId="77777777" w:rsidR="00AE02BD" w:rsidRPr="006F46E6" w:rsidRDefault="00AE02BD" w:rsidP="00AE02BD">
            <w:pPr>
              <w:rPr>
                <w:rFonts w:ascii="Arial" w:hAnsi="Arial" w:cs="Arial"/>
                <w:sz w:val="24"/>
                <w:szCs w:val="24"/>
              </w:rPr>
            </w:pPr>
            <w:r>
              <w:rPr>
                <w:rFonts w:ascii="Arial" w:hAnsi="Arial" w:cs="Arial"/>
                <w:sz w:val="24"/>
                <w:szCs w:val="24"/>
              </w:rPr>
              <w:t>138,15</w:t>
            </w:r>
          </w:p>
        </w:tc>
        <w:tc>
          <w:tcPr>
            <w:tcW w:w="1148" w:type="dxa"/>
            <w:gridSpan w:val="2"/>
          </w:tcPr>
          <w:p w14:paraId="19E7A277" w14:textId="77777777" w:rsidR="00AE02BD" w:rsidRDefault="00AE02BD" w:rsidP="00AE02BD">
            <w:pPr>
              <w:rPr>
                <w:rFonts w:ascii="Arial" w:hAnsi="Arial" w:cs="Arial"/>
                <w:sz w:val="24"/>
                <w:szCs w:val="24"/>
              </w:rPr>
            </w:pPr>
          </w:p>
          <w:p w14:paraId="66505C69" w14:textId="77777777" w:rsidR="00AE02BD" w:rsidRDefault="00AE02BD" w:rsidP="00AE02BD">
            <w:pPr>
              <w:rPr>
                <w:rFonts w:ascii="Arial" w:hAnsi="Arial" w:cs="Arial"/>
                <w:sz w:val="24"/>
                <w:szCs w:val="24"/>
              </w:rPr>
            </w:pPr>
            <w:r>
              <w:rPr>
                <w:rFonts w:ascii="Arial" w:hAnsi="Arial" w:cs="Arial"/>
                <w:sz w:val="24"/>
                <w:szCs w:val="24"/>
              </w:rPr>
              <w:t>188,80</w:t>
            </w:r>
          </w:p>
        </w:tc>
      </w:tr>
    </w:tbl>
    <w:p w14:paraId="17908484" w14:textId="77777777" w:rsidR="00AE02BD" w:rsidRDefault="00AE02BD" w:rsidP="004F014C">
      <w:pPr>
        <w:jc w:val="both"/>
      </w:pPr>
    </w:p>
    <w:p w14:paraId="0C4B4546" w14:textId="06C72722" w:rsidR="004F014C" w:rsidRPr="00A42700" w:rsidRDefault="004F014C" w:rsidP="004F014C">
      <w:pPr>
        <w:jc w:val="both"/>
        <w:rPr>
          <w:b/>
        </w:rPr>
      </w:pPr>
      <w:r w:rsidRPr="00A42700">
        <w:rPr>
          <w:b/>
        </w:rPr>
        <w:t>OBRAZLOŽENJE</w:t>
      </w:r>
    </w:p>
    <w:p w14:paraId="3EAD39AA" w14:textId="77777777" w:rsidR="004F014C" w:rsidRPr="004F014C" w:rsidRDefault="004F014C" w:rsidP="004F014C">
      <w:pPr>
        <w:jc w:val="both"/>
        <w:rPr>
          <w:b/>
        </w:rPr>
      </w:pPr>
      <w:r w:rsidRPr="004F014C">
        <w:rPr>
          <w:b/>
        </w:rPr>
        <w:t>Pravna osnova</w:t>
      </w:r>
    </w:p>
    <w:p w14:paraId="168A012F" w14:textId="77777777" w:rsidR="004F014C" w:rsidRDefault="004F014C" w:rsidP="004F014C">
      <w:pPr>
        <w:jc w:val="both"/>
      </w:pPr>
      <w:r w:rsidRPr="004F014C">
        <w:t xml:space="preserve">Zakon o procjeni vrijednosti nekretnina („Narodne novine“ broj 78/2015) (u daljnjem tekstu: Zakon) u odredbama članka 4. propisuje da su indeksni nizovi (bazni indeksi) nizovi kojima se prate promjene općih vrijednosnih odnosa na tržištu nekretnina na način da se prosječan odnos cijene nekretnine nekog obuhvaćenog razdoblja stavi u odnos s cijenama nekretnina iz baznog razdoblja s indeksnim brojem 100. Pomoću indeksnih nizova provodi se međuvremensko izjednačenje, odnosno postupak preračunavanja razlika u konjunkturi do kojih dolazi zbog promjena općih vrijednosnih odnosa na tržištu nekretnina tijekom vremena.  Pravilnik o metodama procjene vrijednosti nekretnina („Narodne novine“, broj 105/15) (dalje u tekstu: Pravilnik) u članku 7. propisuje da je pomoću </w:t>
      </w:r>
      <w:r w:rsidRPr="004F014C">
        <w:lastRenderedPageBreak/>
        <w:t xml:space="preserve">indeksnih nizova dozvoljeno međuvremensko izjednačenje kupoprodajnih cijena poredbenih nekretnina koje su ugovorene najviše četiri godine unatrag, u odnosu na dan vrednovanja. Članak 23. Pravilnika definira nužne podatke za procjenu vrijednosti nekretnine koji primarno obuhvaćaju kamatne stope na nekretnine, koeficijente za prilagodbu, indeksne nizove (bazne indekse), koeficijente za preračunavanje i poredbene pokazatelje za izgrađena zemljišta. Sukladno članku 26. Pravilnika, indeksni nizovi (bazni indeksi) izvode se za nekretnine usporedivog položaja i korištenja, a osobito za cijene zemljišta, stanova kao posebnih dijelova nekretnine i obiteljskih kuća. </w:t>
      </w:r>
    </w:p>
    <w:p w14:paraId="475C140F" w14:textId="77777777" w:rsidR="004F014C" w:rsidRPr="004F014C" w:rsidRDefault="004F014C" w:rsidP="004F014C">
      <w:pPr>
        <w:jc w:val="both"/>
        <w:rPr>
          <w:b/>
        </w:rPr>
      </w:pPr>
      <w:r w:rsidRPr="004F014C">
        <w:rPr>
          <w:b/>
        </w:rPr>
        <w:t>Izvori podataka</w:t>
      </w:r>
    </w:p>
    <w:p w14:paraId="327A4ED4" w14:textId="6E0D0230" w:rsidR="004F014C" w:rsidRDefault="004F014C" w:rsidP="004F014C">
      <w:pPr>
        <w:jc w:val="both"/>
      </w:pPr>
      <w:r w:rsidRPr="004F014C">
        <w:t>Temeljem članka 6. Pravilnika, do sada su se za međuvremensko izjednačenje mogli koristiti indeksni nizovi objavljeni na Eurostatu (Hrvatska narodna banka), Državnom zavodu za statistiku, Hrvatskoj gospodarskoj komori, kao i odgovarajući statistički podatci agencija za posredovanje u prometu nekretninama, ukoliko su takvi podaci bili javno dostupni. Od raspoloživih podataka uzimali su se u obzir oni koji su najbolje odražavali opće vrijednosne odnose na lokalnom tržištu nekretnina. Sukladno odredbama članka 12. stavka 1. točke 1. Zakona, te članka 16. stavka 1. točke 3. Zakona, izvođenje i ažuriranje nužnih podataka (u što se ubrajaju indeksni nizovi) je u nadležnosti upravnih tijela i procjeniteljskih povjerenstva. Slijedom navedenog, nadležno upravno tijelo (Upravni odjel za pros</w:t>
      </w:r>
      <w:r w:rsidR="005D564A">
        <w:t xml:space="preserve">torno uređenje, graditeljstvo </w:t>
      </w:r>
      <w:r w:rsidRPr="004F014C">
        <w:t xml:space="preserve">i </w:t>
      </w:r>
      <w:r w:rsidR="005D564A">
        <w:t>zaštitu okoliša</w:t>
      </w:r>
      <w:r w:rsidRPr="004F014C">
        <w:t xml:space="preserve">), pripremilo je Procjeniteljskom povjerenstvu za tržište nekretnina za područje </w:t>
      </w:r>
      <w:r w:rsidR="005D564A">
        <w:t>Osje</w:t>
      </w:r>
      <w:r w:rsidRPr="004F014C">
        <w:t>čko-</w:t>
      </w:r>
      <w:r w:rsidR="005D564A">
        <w:t>baranjs</w:t>
      </w:r>
      <w:r w:rsidRPr="004F014C">
        <w:t>ke županije prijedlog Indeksnih nizova kupoprodajnih cijena nekretnina od 2015. do 202</w:t>
      </w:r>
      <w:r w:rsidR="00AE02BD">
        <w:t>4</w:t>
      </w:r>
      <w:r w:rsidRPr="004F014C">
        <w:t xml:space="preserve">. godine za područje </w:t>
      </w:r>
      <w:r w:rsidR="005D564A">
        <w:t>Osje</w:t>
      </w:r>
      <w:r w:rsidRPr="004F014C">
        <w:t>čko-</w:t>
      </w:r>
      <w:r w:rsidR="005D564A">
        <w:t>baranjs</w:t>
      </w:r>
      <w:r w:rsidRPr="004F014C">
        <w:t>ke županije za nekretnine iz članka 26. Pravilnika.  Indeksni nizovi izvodili su se na temelju dovoljnog broja podataka prikladnih kupoprodajnih cijena. Korišten je primjer statističke obrade podataka opisan u dokumentu „Metodologija za izradu Plana približnih vrijednosti zemljišta“. Indeksni nizovi kupoprodajnih cijena nekretnina od 2015. do 202</w:t>
      </w:r>
      <w:r w:rsidR="00AE02BD">
        <w:t>4</w:t>
      </w:r>
      <w:r w:rsidRPr="004F014C">
        <w:t xml:space="preserve">. godine biti će ugrađeni u Izvješće o tržištu nekretnina za područje </w:t>
      </w:r>
      <w:r w:rsidR="005D564A">
        <w:t>Osje</w:t>
      </w:r>
      <w:r w:rsidR="005D564A" w:rsidRPr="004F014C">
        <w:t>čko-</w:t>
      </w:r>
      <w:r w:rsidR="005D564A">
        <w:t>baranjs</w:t>
      </w:r>
      <w:r w:rsidR="005D564A" w:rsidRPr="004F014C">
        <w:t xml:space="preserve">ke županije </w:t>
      </w:r>
      <w:r w:rsidRPr="004F014C">
        <w:t>za 202</w:t>
      </w:r>
      <w:r w:rsidR="00AE02BD">
        <w:t>4</w:t>
      </w:r>
      <w:r w:rsidRPr="004F014C">
        <w:t>. godinu, koje će se objaviti do 31. ožujka 202</w:t>
      </w:r>
      <w:r w:rsidR="00AE02BD">
        <w:t>5</w:t>
      </w:r>
      <w:r w:rsidRPr="004F014C">
        <w:t xml:space="preserve">. godine na mrežnim stranicama </w:t>
      </w:r>
      <w:r w:rsidR="005D564A">
        <w:t>Osje</w:t>
      </w:r>
      <w:r w:rsidR="005D564A" w:rsidRPr="004F014C">
        <w:t>čko-</w:t>
      </w:r>
      <w:r w:rsidR="005D564A">
        <w:t>baranjs</w:t>
      </w:r>
      <w:r w:rsidR="005D564A" w:rsidRPr="004F014C">
        <w:t>ke županije</w:t>
      </w:r>
      <w:r w:rsidRPr="004F014C">
        <w:t>.</w:t>
      </w:r>
    </w:p>
    <w:p w14:paraId="192EEA84" w14:textId="77777777" w:rsidR="004F014C" w:rsidRPr="004F014C" w:rsidRDefault="004F014C" w:rsidP="004F014C">
      <w:pPr>
        <w:jc w:val="both"/>
        <w:rPr>
          <w:b/>
        </w:rPr>
      </w:pPr>
      <w:r w:rsidRPr="004F014C">
        <w:rPr>
          <w:b/>
        </w:rPr>
        <w:t>Obuhvat</w:t>
      </w:r>
    </w:p>
    <w:p w14:paraId="37E79914" w14:textId="0B0F29EA" w:rsidR="004F014C" w:rsidRPr="004F014C" w:rsidRDefault="004F014C" w:rsidP="004F014C">
      <w:pPr>
        <w:jc w:val="both"/>
      </w:pPr>
      <w:r w:rsidRPr="004F014C">
        <w:t>Indeksni nizovi kupoprodajnih cijena nekretnina od 2015. do 202</w:t>
      </w:r>
      <w:r w:rsidR="00AE02BD">
        <w:t>4</w:t>
      </w:r>
      <w:r w:rsidRPr="004F014C">
        <w:t xml:space="preserve">. godine za područje </w:t>
      </w:r>
      <w:r w:rsidR="00CC7940">
        <w:t>Osje</w:t>
      </w:r>
      <w:r w:rsidR="00CC7940" w:rsidRPr="004F014C">
        <w:t>čko-</w:t>
      </w:r>
      <w:r w:rsidR="00CC7940">
        <w:t>baranjs</w:t>
      </w:r>
      <w:r w:rsidR="00CC7940" w:rsidRPr="004F014C">
        <w:t>ke županije</w:t>
      </w:r>
      <w:r w:rsidRPr="004F014C">
        <w:t xml:space="preserve"> obuhvaćaju podatke cjelokupnog područja </w:t>
      </w:r>
      <w:r w:rsidR="00CC7940">
        <w:t>Osje</w:t>
      </w:r>
      <w:r w:rsidR="00CC7940" w:rsidRPr="004F014C">
        <w:t>čko-</w:t>
      </w:r>
      <w:r w:rsidR="00CC7940">
        <w:t>baranjs</w:t>
      </w:r>
      <w:r w:rsidR="00CC7940" w:rsidRPr="004F014C">
        <w:t xml:space="preserve">ke županije </w:t>
      </w:r>
      <w:r w:rsidRPr="004F014C">
        <w:t>(nedostaju poda</w:t>
      </w:r>
      <w:r w:rsidR="00AE02BD">
        <w:t>t</w:t>
      </w:r>
      <w:r w:rsidRPr="004F014C">
        <w:t xml:space="preserve">ci za Grad </w:t>
      </w:r>
      <w:r w:rsidR="00CC7940">
        <w:t>Osijek</w:t>
      </w:r>
      <w:r w:rsidRPr="004F014C">
        <w:t xml:space="preserve">, koji kao „veliki grad“ zasebno vodi svoju Zbirku kupoprodajnih cijena). Iskazani indeks obuhvaća sve raspoložive podatke o transakcijama građevinskog, poljoprivrednog i šumskog zemljišta, te stanova na području </w:t>
      </w:r>
      <w:r w:rsidR="00827CE7">
        <w:t>Osje</w:t>
      </w:r>
      <w:r w:rsidR="00827CE7" w:rsidRPr="004F014C">
        <w:t>čko-</w:t>
      </w:r>
      <w:r w:rsidR="00827CE7">
        <w:t>baranjs</w:t>
      </w:r>
      <w:r w:rsidR="00827CE7" w:rsidRPr="004F014C">
        <w:t xml:space="preserve">ke </w:t>
      </w:r>
      <w:r w:rsidRPr="004F014C">
        <w:t xml:space="preserve">županije. </w:t>
      </w:r>
    </w:p>
    <w:p w14:paraId="4AE866E9" w14:textId="77777777" w:rsidR="004F014C" w:rsidRPr="004F014C" w:rsidRDefault="004F014C" w:rsidP="004F014C"/>
    <w:p w14:paraId="50C0DFE5" w14:textId="77777777" w:rsidR="004F014C" w:rsidRPr="004F014C" w:rsidRDefault="004F014C" w:rsidP="004F014C"/>
    <w:p w14:paraId="125A3993" w14:textId="77777777" w:rsidR="004F014C" w:rsidRPr="004F014C" w:rsidRDefault="004F014C" w:rsidP="004F014C"/>
    <w:p w14:paraId="2A5F66AA" w14:textId="77777777" w:rsidR="005E18EE" w:rsidRPr="004F014C" w:rsidRDefault="005E18EE" w:rsidP="004F014C"/>
    <w:sectPr w:rsidR="005E18EE" w:rsidRPr="004F014C" w:rsidSect="003D68B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6E759" w14:textId="77777777" w:rsidR="00884C8A" w:rsidRDefault="00884C8A" w:rsidP="005E18EE">
      <w:pPr>
        <w:spacing w:after="0" w:line="240" w:lineRule="auto"/>
      </w:pPr>
      <w:r>
        <w:separator/>
      </w:r>
    </w:p>
  </w:endnote>
  <w:endnote w:type="continuationSeparator" w:id="0">
    <w:p w14:paraId="58DE41F7" w14:textId="77777777" w:rsidR="00884C8A" w:rsidRDefault="00884C8A" w:rsidP="005E1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6F932" w14:textId="77777777" w:rsidR="00884C8A" w:rsidRDefault="00884C8A" w:rsidP="005E18EE">
      <w:pPr>
        <w:spacing w:after="0" w:line="240" w:lineRule="auto"/>
      </w:pPr>
      <w:r>
        <w:separator/>
      </w:r>
    </w:p>
  </w:footnote>
  <w:footnote w:type="continuationSeparator" w:id="0">
    <w:p w14:paraId="50C52C86" w14:textId="77777777" w:rsidR="00884C8A" w:rsidRDefault="00884C8A" w:rsidP="005E18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4D0"/>
    <w:multiLevelType w:val="hybridMultilevel"/>
    <w:tmpl w:val="CCFC79E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9AC3E09"/>
    <w:multiLevelType w:val="hybridMultilevel"/>
    <w:tmpl w:val="32241C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04318B6"/>
    <w:multiLevelType w:val="hybridMultilevel"/>
    <w:tmpl w:val="598008C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364059446">
    <w:abstractNumId w:val="2"/>
  </w:num>
  <w:num w:numId="2" w16cid:durableId="270094096">
    <w:abstractNumId w:val="0"/>
  </w:num>
  <w:num w:numId="3" w16cid:durableId="1511219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D68"/>
    <w:rsid w:val="00084789"/>
    <w:rsid w:val="0022612C"/>
    <w:rsid w:val="002F2F1E"/>
    <w:rsid w:val="003D68B2"/>
    <w:rsid w:val="004F014C"/>
    <w:rsid w:val="005738D2"/>
    <w:rsid w:val="005D564A"/>
    <w:rsid w:val="005E18EE"/>
    <w:rsid w:val="0065722C"/>
    <w:rsid w:val="006B5491"/>
    <w:rsid w:val="006E5D68"/>
    <w:rsid w:val="006F115C"/>
    <w:rsid w:val="00712669"/>
    <w:rsid w:val="007D4EDF"/>
    <w:rsid w:val="007F3B0A"/>
    <w:rsid w:val="00827CE7"/>
    <w:rsid w:val="00884C8A"/>
    <w:rsid w:val="008E77D3"/>
    <w:rsid w:val="00992EEE"/>
    <w:rsid w:val="009B3C1D"/>
    <w:rsid w:val="009D31A9"/>
    <w:rsid w:val="00A42700"/>
    <w:rsid w:val="00AE02BD"/>
    <w:rsid w:val="00B249E5"/>
    <w:rsid w:val="00B936B0"/>
    <w:rsid w:val="00BC05D4"/>
    <w:rsid w:val="00C35CFC"/>
    <w:rsid w:val="00CC7940"/>
    <w:rsid w:val="00DF418D"/>
    <w:rsid w:val="00EB7523"/>
    <w:rsid w:val="00F0148A"/>
    <w:rsid w:val="00F5460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6929"/>
  <w15:chartTrackingRefBased/>
  <w15:docId w15:val="{FC578C25-AAA9-462A-8951-565F1A897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226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uiPriority w:val="34"/>
    <w:qFormat/>
    <w:rsid w:val="0022612C"/>
    <w:pPr>
      <w:ind w:left="720"/>
      <w:contextualSpacing/>
    </w:pPr>
  </w:style>
  <w:style w:type="paragraph" w:styleId="Zaglavlje">
    <w:name w:val="header"/>
    <w:basedOn w:val="Normal"/>
    <w:link w:val="ZaglavljeChar"/>
    <w:uiPriority w:val="99"/>
    <w:unhideWhenUsed/>
    <w:rsid w:val="005E18E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5E18EE"/>
  </w:style>
  <w:style w:type="paragraph" w:styleId="Podnoje">
    <w:name w:val="footer"/>
    <w:basedOn w:val="Normal"/>
    <w:link w:val="PodnojeChar"/>
    <w:uiPriority w:val="99"/>
    <w:unhideWhenUsed/>
    <w:rsid w:val="005E18E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5E1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696</Words>
  <Characters>3968</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Biro</dc:creator>
  <cp:keywords/>
  <dc:description/>
  <cp:lastModifiedBy>Tomislav Pintarić</cp:lastModifiedBy>
  <cp:revision>4</cp:revision>
  <dcterms:created xsi:type="dcterms:W3CDTF">2025-01-30T11:07:00Z</dcterms:created>
  <dcterms:modified xsi:type="dcterms:W3CDTF">2025-01-30T11:30:00Z</dcterms:modified>
</cp:coreProperties>
</file>